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432" w:lineRule="auto"/>
        <w:jc w:val="center"/>
        <w:rPr>
          <w:rStyle w:val="6"/>
          <w:sz w:val="28"/>
          <w:szCs w:val="28"/>
        </w:rPr>
      </w:pPr>
      <w:r>
        <w:rPr>
          <w:sz w:val="28"/>
          <w:szCs w:val="28"/>
        </w:rPr>
        <w:t>　</w:t>
      </w:r>
      <w:r>
        <w:rPr>
          <w:rStyle w:val="6"/>
          <w:rFonts w:hint="eastAsia"/>
          <w:sz w:val="28"/>
          <w:szCs w:val="28"/>
        </w:rPr>
        <w:t>2016年8月15日，广东省人民政府办公厅发布文件《广东省人民政府办公厅关于全省集中开展城市风险点危险源排查整治专项行动的通知》（粤办函〔2016〕406号）</w:t>
      </w:r>
    </w:p>
    <w:p>
      <w:pPr>
        <w:pStyle w:val="4"/>
        <w:keepNext w:val="0"/>
        <w:keepLines w:val="0"/>
        <w:widowControl/>
        <w:suppressLineNumbers w:val="0"/>
        <w:spacing w:line="432" w:lineRule="auto"/>
        <w:jc w:val="left"/>
        <w:rPr>
          <w:sz w:val="28"/>
          <w:szCs w:val="28"/>
        </w:rPr>
      </w:pPr>
      <w:r>
        <w:rPr>
          <w:sz w:val="28"/>
          <w:szCs w:val="28"/>
        </w:rPr>
        <w:t>各地级以上市人民政府、各县（市、区）人民政府，省政府各部门、各直属机构，中直驻粤有关单位：</w:t>
      </w:r>
    </w:p>
    <w:p>
      <w:pPr>
        <w:pStyle w:val="4"/>
        <w:keepNext w:val="0"/>
        <w:keepLines w:val="0"/>
        <w:widowControl/>
        <w:suppressLineNumbers w:val="0"/>
        <w:spacing w:line="432" w:lineRule="auto"/>
        <w:jc w:val="left"/>
        <w:rPr>
          <w:sz w:val="28"/>
          <w:szCs w:val="28"/>
        </w:rPr>
      </w:pPr>
      <w:r>
        <w:rPr>
          <w:sz w:val="28"/>
          <w:szCs w:val="28"/>
        </w:rPr>
        <w:t>　　为认真贯彻落实习近平总书记、李克强总理关于安全生产的重要指示批示精神，深刻吸取深圳光明新区渣土受纳场“12·20”特别重大滑坡事故的惨痛教训，切实加强城市运行安全管理，坚决遏制重特大事故发生，省政府决定自2016年8月至12月在全省集中开展城市风险点、危险源排查整治专项行动。现将有关要求通知如下：</w:t>
      </w:r>
    </w:p>
    <w:p>
      <w:pPr>
        <w:pStyle w:val="4"/>
        <w:keepNext w:val="0"/>
        <w:keepLines w:val="0"/>
        <w:widowControl/>
        <w:suppressLineNumbers w:val="0"/>
        <w:spacing w:line="432" w:lineRule="auto"/>
        <w:jc w:val="left"/>
        <w:rPr>
          <w:sz w:val="28"/>
          <w:szCs w:val="28"/>
        </w:rPr>
      </w:pPr>
      <w:r>
        <w:rPr>
          <w:sz w:val="28"/>
          <w:szCs w:val="28"/>
        </w:rPr>
        <w:t>　　</w:t>
      </w:r>
      <w:r>
        <w:rPr>
          <w:rStyle w:val="6"/>
          <w:sz w:val="28"/>
          <w:szCs w:val="28"/>
        </w:rPr>
        <w:t>一、指导思想和工作目标</w:t>
      </w:r>
    </w:p>
    <w:p>
      <w:pPr>
        <w:pStyle w:val="4"/>
        <w:keepNext w:val="0"/>
        <w:keepLines w:val="0"/>
        <w:widowControl/>
        <w:suppressLineNumbers w:val="0"/>
        <w:spacing w:line="432" w:lineRule="auto"/>
        <w:jc w:val="left"/>
        <w:rPr>
          <w:sz w:val="28"/>
          <w:szCs w:val="28"/>
        </w:rPr>
      </w:pPr>
      <w:r>
        <w:rPr>
          <w:sz w:val="28"/>
          <w:szCs w:val="28"/>
        </w:rPr>
        <w:t>　　（一）指导思想。深入贯彻落实习近平总书记、李克强总理关于安全生产和城市运行安全管理的重要指示批示精神，按照国家关于构建安全风险管控和隐患排查治理双重预防机制的要求，坚持把遏制重特大事故作为安全生产总体工作的“牛鼻子”来抓，坚持把安全风险管控挺在隐患前面、把隐患排查治理挺在事故前面，坚持超前辨识预判重点领域、重点环节安全风险，坚持综合施策管控安全风险，切实解决“认不清、想不到、管不到”的问题，有效提升全省城市安全风险防控能力，减少各类事故，坚决遏制重特大事故发生，为全省经济社会发展提供安全保障。</w:t>
      </w:r>
    </w:p>
    <w:p>
      <w:pPr>
        <w:pStyle w:val="4"/>
        <w:keepNext w:val="0"/>
        <w:keepLines w:val="0"/>
        <w:widowControl/>
        <w:suppressLineNumbers w:val="0"/>
        <w:spacing w:line="432" w:lineRule="auto"/>
        <w:jc w:val="left"/>
        <w:rPr>
          <w:sz w:val="28"/>
          <w:szCs w:val="28"/>
        </w:rPr>
      </w:pPr>
      <w:r>
        <w:rPr>
          <w:sz w:val="28"/>
          <w:szCs w:val="28"/>
        </w:rPr>
        <w:t>　　（二）工作目标。全面制订完善城市安全风险管控工作的责任主体、规范、标准和指南，明确城市各类风险点、危险源风险辨识的牵头部门、工作原则、操作程序、分析方法、记录形式等要求，解决“认不清”的问题；对城市各类风险点、危险源进行深入排查、科学评估，全面查清风险点、危险源的分布情况，探索建立统一的安全风险点、危险源数据库和决策分析系统，解决“想不到”的问题；通过科学评估、动态管理、分级监管，及时发现城市风险点、危险源存在的问题和缺陷，通过制度、技术、管理等措施对其关键环节进行风险管控，降低风险，解决“管不到”的问题。通过深入开展风险点、危险源整治，由点及面，全面降低城市安全风险。</w:t>
      </w:r>
    </w:p>
    <w:p>
      <w:pPr>
        <w:pStyle w:val="4"/>
        <w:keepNext w:val="0"/>
        <w:keepLines w:val="0"/>
        <w:widowControl/>
        <w:suppressLineNumbers w:val="0"/>
        <w:spacing w:line="432" w:lineRule="auto"/>
        <w:jc w:val="left"/>
        <w:rPr>
          <w:sz w:val="28"/>
          <w:szCs w:val="28"/>
        </w:rPr>
      </w:pPr>
      <w:r>
        <w:rPr>
          <w:sz w:val="28"/>
          <w:szCs w:val="28"/>
        </w:rPr>
        <w:t>　</w:t>
      </w:r>
      <w:r>
        <w:rPr>
          <w:rStyle w:val="6"/>
          <w:sz w:val="28"/>
          <w:szCs w:val="28"/>
        </w:rPr>
        <w:t>　二、排查整治对象</w:t>
      </w:r>
    </w:p>
    <w:p>
      <w:pPr>
        <w:pStyle w:val="4"/>
        <w:keepNext w:val="0"/>
        <w:keepLines w:val="0"/>
        <w:widowControl/>
        <w:suppressLineNumbers w:val="0"/>
        <w:spacing w:line="432" w:lineRule="auto"/>
        <w:jc w:val="left"/>
        <w:rPr>
          <w:sz w:val="28"/>
          <w:szCs w:val="28"/>
        </w:rPr>
      </w:pPr>
      <w:r>
        <w:rPr>
          <w:sz w:val="28"/>
          <w:szCs w:val="28"/>
        </w:rPr>
        <w:t>　　本次专项行动排查整治的对象是可能导致重大人员伤亡、财产损失及其他不良社会影响的单位、场所、部位、设备设施和活动等，包括：</w:t>
      </w:r>
    </w:p>
    <w:p>
      <w:pPr>
        <w:pStyle w:val="4"/>
        <w:keepNext w:val="0"/>
        <w:keepLines w:val="0"/>
        <w:widowControl/>
        <w:suppressLineNumbers w:val="0"/>
        <w:spacing w:line="432" w:lineRule="auto"/>
        <w:jc w:val="left"/>
        <w:rPr>
          <w:sz w:val="28"/>
          <w:szCs w:val="28"/>
        </w:rPr>
      </w:pPr>
      <w:r>
        <w:rPr>
          <w:sz w:val="28"/>
          <w:szCs w:val="28"/>
        </w:rPr>
        <w:t>　　（一）各类生产经营单位。</w:t>
      </w:r>
    </w:p>
    <w:p>
      <w:pPr>
        <w:pStyle w:val="4"/>
        <w:keepNext w:val="0"/>
        <w:keepLines w:val="0"/>
        <w:widowControl/>
        <w:suppressLineNumbers w:val="0"/>
        <w:spacing w:line="432" w:lineRule="auto"/>
        <w:jc w:val="left"/>
        <w:rPr>
          <w:sz w:val="28"/>
          <w:szCs w:val="28"/>
        </w:rPr>
      </w:pPr>
      <w:r>
        <w:rPr>
          <w:sz w:val="28"/>
          <w:szCs w:val="28"/>
        </w:rPr>
        <w:t>　　（二）城市综合体、客运车站、地铁站、渡口、码头、民用机场、商场（市场）、宾馆（饭店）、体育场（馆）、会堂、图书馆、展览馆、博物馆、寺庙、教堂、医院、福利院、养老院、学校、幼儿园、托儿所、公共娱乐场所等人员密集场所。</w:t>
      </w:r>
    </w:p>
    <w:p>
      <w:pPr>
        <w:pStyle w:val="4"/>
        <w:keepNext w:val="0"/>
        <w:keepLines w:val="0"/>
        <w:widowControl/>
        <w:suppressLineNumbers w:val="0"/>
        <w:spacing w:line="432" w:lineRule="auto"/>
        <w:jc w:val="left"/>
        <w:rPr>
          <w:sz w:val="28"/>
          <w:szCs w:val="28"/>
        </w:rPr>
      </w:pPr>
      <w:r>
        <w:rPr>
          <w:sz w:val="28"/>
          <w:szCs w:val="28"/>
        </w:rPr>
        <w:t>　　（三）建筑工程、交通设施、桥梁、地下空间等大型建设项目。</w:t>
      </w:r>
    </w:p>
    <w:p>
      <w:pPr>
        <w:pStyle w:val="4"/>
        <w:keepNext w:val="0"/>
        <w:keepLines w:val="0"/>
        <w:widowControl/>
        <w:suppressLineNumbers w:val="0"/>
        <w:spacing w:line="432" w:lineRule="auto"/>
        <w:jc w:val="left"/>
        <w:rPr>
          <w:sz w:val="28"/>
          <w:szCs w:val="28"/>
        </w:rPr>
      </w:pPr>
      <w:r>
        <w:rPr>
          <w:sz w:val="28"/>
          <w:szCs w:val="28"/>
        </w:rPr>
        <w:t>　　（四）事故易发多发路段、渣土（建筑垃圾）受纳场、危房、烂尾楼、人防工程等重点部位。</w:t>
      </w:r>
    </w:p>
    <w:p>
      <w:pPr>
        <w:pStyle w:val="4"/>
        <w:keepNext w:val="0"/>
        <w:keepLines w:val="0"/>
        <w:widowControl/>
        <w:suppressLineNumbers w:val="0"/>
        <w:spacing w:line="432" w:lineRule="auto"/>
        <w:jc w:val="left"/>
        <w:rPr>
          <w:sz w:val="28"/>
          <w:szCs w:val="28"/>
        </w:rPr>
      </w:pPr>
      <w:r>
        <w:rPr>
          <w:sz w:val="28"/>
          <w:szCs w:val="28"/>
        </w:rPr>
        <w:t>　　（五）轨道交通、电力设施、隧道桥梁（含高架桥）、燃气、管线管廊、电网、通信、建筑用升降机、电梯及游乐设施、燃气煤气瓶、玻璃幕墙、户外广告牌、城市旧挡土墙等重点设备设施；商船、游船、渡船、渔业船舶、客运班车、旅游包车、重型货车和汽车列车、建设施工单位散装物料车、校车、教练车等重点交通运输设备设施。</w:t>
      </w:r>
    </w:p>
    <w:p>
      <w:pPr>
        <w:pStyle w:val="4"/>
        <w:keepNext w:val="0"/>
        <w:keepLines w:val="0"/>
        <w:widowControl/>
        <w:suppressLineNumbers w:val="0"/>
        <w:spacing w:line="432" w:lineRule="auto"/>
        <w:jc w:val="left"/>
        <w:rPr>
          <w:sz w:val="28"/>
          <w:szCs w:val="28"/>
        </w:rPr>
      </w:pPr>
      <w:r>
        <w:rPr>
          <w:sz w:val="28"/>
          <w:szCs w:val="28"/>
        </w:rPr>
        <w:t>　　（六）体育比赛、文艺演出、游园、灯会、庙会、花会、焰火晚会等大型群众性活动。</w:t>
      </w:r>
    </w:p>
    <w:p>
      <w:pPr>
        <w:pStyle w:val="4"/>
        <w:keepNext w:val="0"/>
        <w:keepLines w:val="0"/>
        <w:widowControl/>
        <w:suppressLineNumbers w:val="0"/>
        <w:spacing w:line="432" w:lineRule="auto"/>
        <w:jc w:val="left"/>
        <w:rPr>
          <w:sz w:val="28"/>
          <w:szCs w:val="28"/>
        </w:rPr>
      </w:pPr>
      <w:r>
        <w:rPr>
          <w:sz w:val="28"/>
          <w:szCs w:val="28"/>
        </w:rPr>
        <w:t>　　（七）易受台风、暴雨影响而引发事故的设备设施和重点地质灾害点，以及城市低洼区、地下立交通道等内涝黑点等。</w:t>
      </w:r>
    </w:p>
    <w:p>
      <w:pPr>
        <w:pStyle w:val="4"/>
        <w:keepNext w:val="0"/>
        <w:keepLines w:val="0"/>
        <w:widowControl/>
        <w:suppressLineNumbers w:val="0"/>
        <w:spacing w:line="432" w:lineRule="auto"/>
        <w:jc w:val="left"/>
        <w:rPr>
          <w:sz w:val="28"/>
          <w:szCs w:val="28"/>
        </w:rPr>
      </w:pPr>
      <w:r>
        <w:rPr>
          <w:sz w:val="28"/>
          <w:szCs w:val="28"/>
        </w:rPr>
        <w:t>　　（八）其他可能存在安全风险隐患的风险点、危险源。</w:t>
      </w:r>
    </w:p>
    <w:p>
      <w:pPr>
        <w:pStyle w:val="4"/>
        <w:keepNext w:val="0"/>
        <w:keepLines w:val="0"/>
        <w:widowControl/>
        <w:suppressLineNumbers w:val="0"/>
        <w:spacing w:line="432" w:lineRule="auto"/>
        <w:jc w:val="left"/>
        <w:rPr>
          <w:sz w:val="28"/>
          <w:szCs w:val="28"/>
        </w:rPr>
      </w:pPr>
      <w:r>
        <w:rPr>
          <w:sz w:val="28"/>
          <w:szCs w:val="28"/>
        </w:rPr>
        <w:t>　</w:t>
      </w:r>
      <w:r>
        <w:rPr>
          <w:rStyle w:val="6"/>
          <w:sz w:val="28"/>
          <w:szCs w:val="28"/>
        </w:rPr>
        <w:t>　三、责任分工</w:t>
      </w:r>
    </w:p>
    <w:p>
      <w:pPr>
        <w:pStyle w:val="4"/>
        <w:keepNext w:val="0"/>
        <w:keepLines w:val="0"/>
        <w:widowControl/>
        <w:suppressLineNumbers w:val="0"/>
        <w:spacing w:line="432" w:lineRule="auto"/>
        <w:jc w:val="left"/>
        <w:rPr>
          <w:sz w:val="28"/>
          <w:szCs w:val="28"/>
        </w:rPr>
      </w:pPr>
      <w:r>
        <w:rPr>
          <w:sz w:val="28"/>
          <w:szCs w:val="28"/>
        </w:rPr>
        <w:t>　　各地级以上市政府是本次专项行动的责任主体，负责组织实施本地区城市风险点、危险源排查整治专项行动，督促、协调下级政府和本级各部门落实责任，做好相关工作，对本地区的专项行动负总责。</w:t>
      </w:r>
    </w:p>
    <w:p>
      <w:pPr>
        <w:pStyle w:val="4"/>
        <w:keepNext w:val="0"/>
        <w:keepLines w:val="0"/>
        <w:widowControl/>
        <w:suppressLineNumbers w:val="0"/>
        <w:spacing w:line="432" w:lineRule="auto"/>
        <w:jc w:val="left"/>
        <w:rPr>
          <w:sz w:val="28"/>
          <w:szCs w:val="28"/>
        </w:rPr>
      </w:pPr>
      <w:r>
        <w:rPr>
          <w:sz w:val="28"/>
          <w:szCs w:val="28"/>
        </w:rPr>
        <w:t>　　省安委办负责统筹、协调全省城市风险点、危险源排查整治专项行动；负责编制有关工作指南，督促、指导各地区以及省有关部门和中央驻粤有关单位做好相关工作。</w:t>
      </w:r>
    </w:p>
    <w:p>
      <w:pPr>
        <w:pStyle w:val="4"/>
        <w:keepNext w:val="0"/>
        <w:keepLines w:val="0"/>
        <w:widowControl/>
        <w:suppressLineNumbers w:val="0"/>
        <w:spacing w:line="432" w:lineRule="auto"/>
        <w:jc w:val="left"/>
        <w:rPr>
          <w:sz w:val="28"/>
          <w:szCs w:val="28"/>
        </w:rPr>
      </w:pPr>
      <w:r>
        <w:rPr>
          <w:sz w:val="28"/>
          <w:szCs w:val="28"/>
        </w:rPr>
        <w:t>　　省有关单位和中直驻粤有关单位：依据法律法规规定和本单位工作职责，全面梳理本行业领域工作重点、薄弱环节，牵头开展本行业领域风险点、危险源排查整治专项行动，明确工作规范和标准，推动全面普查、辨识、评估和管控风险，整治隐患。突出以下重点：省发展改革委牵头组织石油天然气管道等风险点、危险源排查整治；省经济和信息化委牵头组织民用爆炸物品生产、销售等风险点、危险源排查整治；省教育厅、人力资源社会保障厅分别牵头组织各类学校、教育系统其他企事业单位、校办企业和校车等风险点、危险源排查整治；省民族宗教委牵头组织民族和宗教团体、院校、活动场所和大型宗教活动期间的风险点、危险源排查整治；省公安厅牵头组织道路交通安全和消防安全，民用爆炸物品购买、运输、爆破作业，烟花爆竹运输、燃放，剧毒化学品购买、运输，剧毒化学品、放射源存放场所治安防范和相关大型群众性活动、人员密集场所等风险点、危险源排查整治；省民政厅牵头组织全省各类社会福利机构、殡葬服务机构、救助管理机构等风险点、危险源排查整治；省司法厅牵头组织全省监狱、戒毒单位等风险点、危险源的排查整治；省国土资源厅牵头组织地质灾害等风险点、危险源排查整治；省环境保护厅牵头组织核与辐射安全，危险废物的收集、贮存、处理处置过程中风险点、危险源排查整治；省住房城乡建设厅牵头组织房屋建筑和市政基础设施工程施工、渣土（建筑垃圾）受纳场、城镇燃气、既有建构筑物的外立面、房屋使用和维护，城市垃圾焚烧厂、垃圾填埋场和污水处理厂等风险点、危险源排查整治；省交通运输厅牵头组织公路、水路运输行业，公路、水路、地方铁路建设工程，物流行业（重点突出城市公共交通、道路危险货物运输行业和港区内危险化学品储存、装卸）等风险点、危险源排查整治；省水利厅牵头组织水利行业（重点突出城市中心或周边的水库、枢纽、农村水电站的附属水库、堤防等水利工程）等风险点、危险源排查整治；省农业厅牵头组织农业机械、农药等风险点、危险源排查整治；省林业厅牵头组织林业行业和森林防火等风险点、危险源排查整治；省商务厅牵头组织拍卖、典当、租赁、汽车流通和旧货流通业等风险点、危险源的排查整治；省文化厅牵头组织全省文化市场风险点、危险源排查整治；省卫生计生委牵头组织医疗卫生机构、计划生育技术服务机构等风险点、危险源排查整治；省体育局牵头组织公共体育设施、高危险性体育项目、有关重要体育赛事和活动风险点、危险源排查整治；省海洋与渔业局牵头组织渔业船舶、渔港水域等风险点、危险源排查整治；省质监局牵头组织特种设备风险点、危险源排查整治；省安全监管局牵头组织金属非金属矿山，尾矿库，危险化学品生产、经营、储存，烟花爆竹经营，金属冶炼、机械、轻工等风险点、危险源排查整治；省旅游局牵头组织旅游景区、景点和旅行社等风险点、危险源排查整治；省人防办牵头组织人民防空工程（包括在建工程）等风险点、危险源排查整治；省地震局牵头组织开展城市中大型化工厂、炼油厂及储存设施、大中型水库大坝及枢纽工程、中小学校校舍等的地震灾害风险点、危险源排查整治，组织实施全省地震监测预报方案，负责震情和地震灾情速报；省气象局牵头组织危险化学品、易燃易爆场所雷电灾害防御风险点、危险源排查整治，负责气象灾害监测、预报、预警及气象灾害风险评估（气候可行性论证）等；广东海事局牵头组织辖区内水上交通（重点突出水上客运领域、船舶碰撞桥梁环节、水上危险货物运输领域）等风险点、危险源排查整治；省邮政管理局牵头组织邮政行业风险点、危险源隐患排查整治；南方能源监管局牵头组织电力行业风险点、危险源排查整治；广州铁路监督管理局牵头组织辖区铁路运输安全、铁路安全环境（重点突出在铁路线路两侧取土、挖砂、堆土，建造、设立生产、加工、储存或者销售易燃、易爆品，从事采矿、采石或者爆破作业，设置的建（构）筑物侵入铁路建筑限界，在铁路桥梁跨越处河道上下游进行疏浚作业等影响铁路运输安全的行为）、铁路工程质量安全、铁路运输设备产品质量安全等风险点、危险源排查整治；民航广东安全监管局牵头组织民航行业风险点、危险源排查整治。</w:t>
      </w:r>
    </w:p>
    <w:p>
      <w:pPr>
        <w:pStyle w:val="4"/>
        <w:keepNext w:val="0"/>
        <w:keepLines w:val="0"/>
        <w:widowControl/>
        <w:suppressLineNumbers w:val="0"/>
        <w:spacing w:line="432" w:lineRule="auto"/>
        <w:jc w:val="left"/>
        <w:rPr>
          <w:sz w:val="28"/>
          <w:szCs w:val="28"/>
        </w:rPr>
      </w:pPr>
      <w:r>
        <w:rPr>
          <w:sz w:val="28"/>
          <w:szCs w:val="28"/>
        </w:rPr>
        <w:t>　　</w:t>
      </w:r>
      <w:r>
        <w:rPr>
          <w:rStyle w:val="6"/>
          <w:sz w:val="28"/>
          <w:szCs w:val="28"/>
        </w:rPr>
        <w:t>四、工作措施</w:t>
      </w:r>
    </w:p>
    <w:p>
      <w:pPr>
        <w:pStyle w:val="4"/>
        <w:keepNext w:val="0"/>
        <w:keepLines w:val="0"/>
        <w:widowControl/>
        <w:suppressLineNumbers w:val="0"/>
        <w:spacing w:line="432" w:lineRule="auto"/>
        <w:jc w:val="left"/>
        <w:rPr>
          <w:sz w:val="28"/>
          <w:szCs w:val="28"/>
        </w:rPr>
      </w:pPr>
      <w:r>
        <w:rPr>
          <w:sz w:val="28"/>
          <w:szCs w:val="28"/>
        </w:rPr>
        <w:t>　　（一）制定城市风险点、危险源排查整治工作规范和标准。省各有关单位结合本单位职责，加快研究制定城市风险点、危险源排查整治工作方案和相关指导性配套文件，做到“四个明确”：一是明确普查范围。充分研究分析本行业领域行业特点、事故规律，找准、找全业务工作对应的安全风险领域、风险环节，明确纳入普查、辨识工作范围和工作要求。二是明确分级标准。结合本行业领域监管实际和工作需求，结合可能发生事故的后果严重程度和可能性，原则上将风险点、危险源的安全风险分为“红、橙、黄、蓝”（红色为安全风险最高级）4个等级，也可根据实际另行确定相关标准。三是明确管控措施。立足于防范较大以上事故，以重大风险优先、循序渐进、动态管理为基本原则，明确风险点、危险源的分级管控要求。四是明确工作要求。明确本行业领域风险点、危险源排查整治的组织、职责、程序、步骤、监督、考核以及建档等要求，对基层组织开展工作形成有力指导。</w:t>
      </w:r>
    </w:p>
    <w:p>
      <w:pPr>
        <w:pStyle w:val="4"/>
        <w:keepNext w:val="0"/>
        <w:keepLines w:val="0"/>
        <w:widowControl/>
        <w:suppressLineNumbers w:val="0"/>
        <w:spacing w:line="432" w:lineRule="auto"/>
        <w:jc w:val="left"/>
        <w:rPr>
          <w:sz w:val="28"/>
          <w:szCs w:val="28"/>
        </w:rPr>
      </w:pPr>
      <w:r>
        <w:rPr>
          <w:sz w:val="28"/>
          <w:szCs w:val="28"/>
        </w:rPr>
        <w:t>　　（二）全面开展城市风险点、危险源普查和评估。各地、各单位依据有关标准、规范，发动各方力量，全面深入开展城市风险点、危险源的调查、辩识、建档，查清各类城市风险点、危险源的底数；组织技术力量对城市风险点、危险源进行科学评估，分析风险引发事故的概率和后果，确定其风险等级。</w:t>
      </w:r>
    </w:p>
    <w:p>
      <w:pPr>
        <w:pStyle w:val="4"/>
        <w:keepNext w:val="0"/>
        <w:keepLines w:val="0"/>
        <w:widowControl/>
        <w:suppressLineNumbers w:val="0"/>
        <w:spacing w:line="432" w:lineRule="auto"/>
        <w:jc w:val="left"/>
        <w:rPr>
          <w:sz w:val="28"/>
          <w:szCs w:val="28"/>
        </w:rPr>
      </w:pPr>
      <w:r>
        <w:rPr>
          <w:sz w:val="28"/>
          <w:szCs w:val="28"/>
        </w:rPr>
        <w:t>　　（三）建立城市风险点、危险源数据库和电子图。各市、县政府要建立统一的城市风险点、危险源数据库，绘制城市风险点、危险源分布电子图，分门别类明确每一处风险点、危险源具体分布、管理和监管的责任单位、责任人和管控状态，并建立工作管理机制，确保及时根据实际情况更新数据库和电子图。</w:t>
      </w:r>
    </w:p>
    <w:p>
      <w:pPr>
        <w:pStyle w:val="4"/>
        <w:keepNext w:val="0"/>
        <w:keepLines w:val="0"/>
        <w:widowControl/>
        <w:suppressLineNumbers w:val="0"/>
        <w:spacing w:line="432" w:lineRule="auto"/>
        <w:jc w:val="left"/>
        <w:rPr>
          <w:sz w:val="28"/>
          <w:szCs w:val="28"/>
        </w:rPr>
      </w:pPr>
      <w:r>
        <w:rPr>
          <w:sz w:val="28"/>
          <w:szCs w:val="28"/>
        </w:rPr>
        <w:t>　　（四）实行城市风险点、危险源风险分级分类管控。各地、各有关单位要根据风险评估结果，按照“分区域、分级别、网格化”的原则，实施安全风险差异化动态管理。结合实际对各风险点、危险源提出科学有效、具体详实的管控措施，实现分级动态管理。督促风险点、危险源管理单位积极采取制度、标准、技术、管理等风险管控措施，切实降低安全风险。督促管理单位落实安全风险分级管控岗位责任，建立安全风险公告、岗位安全风险确认和安全操作“明白卡”等制度，切实规范安全风险管控。</w:t>
      </w:r>
    </w:p>
    <w:p>
      <w:pPr>
        <w:pStyle w:val="4"/>
        <w:keepNext w:val="0"/>
        <w:keepLines w:val="0"/>
        <w:widowControl/>
        <w:suppressLineNumbers w:val="0"/>
        <w:spacing w:line="432" w:lineRule="auto"/>
        <w:jc w:val="left"/>
        <w:rPr>
          <w:sz w:val="28"/>
          <w:szCs w:val="28"/>
        </w:rPr>
      </w:pPr>
      <w:r>
        <w:rPr>
          <w:sz w:val="28"/>
          <w:szCs w:val="28"/>
        </w:rPr>
        <w:t>　　（五）强化重大风险点、危险源风险管控措施。各地、各有关单位要突出加大对重大风险点、危险源的监管力度，定期对红色、橙色风险进行分析，及时发布公告、警示、预警信息，有效降低事故风险。强化重大风险点、危险源的隐患、问题闭环管理机制，对产生高风险的重大隐患，要采取一切可行措施及时消除。对高风险且无法有效管控降低风险的风险点、危险源，要依法落实关闭、取缔等措施；对无法关闭、取缔的重大风险点、危险源，要结合实际划定禁区，尽可能把风险限制在可防、可控范围之内。</w:t>
      </w:r>
    </w:p>
    <w:p>
      <w:pPr>
        <w:pStyle w:val="4"/>
        <w:keepNext w:val="0"/>
        <w:keepLines w:val="0"/>
        <w:widowControl/>
        <w:suppressLineNumbers w:val="0"/>
        <w:spacing w:line="432" w:lineRule="auto"/>
        <w:jc w:val="left"/>
        <w:rPr>
          <w:sz w:val="28"/>
          <w:szCs w:val="28"/>
        </w:rPr>
      </w:pPr>
      <w:r>
        <w:rPr>
          <w:sz w:val="28"/>
          <w:szCs w:val="28"/>
        </w:rPr>
        <w:t>　　（六）建立城市风险点、危险源长效治理机制。完善城乡规划、设计和建设的安全准入标准，建立完善重大规划、重大项目安全风险评估与论证机制，从源头上减少重大风险点、危险源的产生。通过专项行动全面排查城市运行安全管理法规标准缺陷，加强相关法规和标准研究制定。强化城市风险点、危险源安防技术保障，加大安全科技支撑力度，精准、高效建设生命防护工程。运用法治手段从严治理城市风险点、危险源，严厉打击惩治各类违法违规行为。加强应急保障能力建设，针对重大风险点、危险源编制应急预案，落实应急必备的物资、装备、器材，定期组织演练。</w:t>
      </w:r>
    </w:p>
    <w:p>
      <w:pPr>
        <w:pStyle w:val="4"/>
        <w:keepNext w:val="0"/>
        <w:keepLines w:val="0"/>
        <w:widowControl/>
        <w:suppressLineNumbers w:val="0"/>
        <w:spacing w:line="432" w:lineRule="auto"/>
        <w:jc w:val="left"/>
        <w:rPr>
          <w:sz w:val="28"/>
          <w:szCs w:val="28"/>
        </w:rPr>
      </w:pPr>
      <w:r>
        <w:rPr>
          <w:sz w:val="28"/>
          <w:szCs w:val="28"/>
        </w:rPr>
        <w:t>　</w:t>
      </w:r>
      <w:r>
        <w:rPr>
          <w:rStyle w:val="6"/>
          <w:sz w:val="28"/>
          <w:szCs w:val="28"/>
        </w:rPr>
        <w:t>　五、实施步骤</w:t>
      </w:r>
    </w:p>
    <w:p>
      <w:pPr>
        <w:pStyle w:val="4"/>
        <w:keepNext w:val="0"/>
        <w:keepLines w:val="0"/>
        <w:widowControl/>
        <w:suppressLineNumbers w:val="0"/>
        <w:spacing w:line="432" w:lineRule="auto"/>
        <w:jc w:val="left"/>
        <w:rPr>
          <w:sz w:val="28"/>
          <w:szCs w:val="28"/>
        </w:rPr>
      </w:pPr>
      <w:r>
        <w:rPr>
          <w:sz w:val="28"/>
          <w:szCs w:val="28"/>
        </w:rPr>
        <w:t>　　专项行动从2016年8月开始至12月底结束，分三个阶段进行：</w:t>
      </w:r>
    </w:p>
    <w:p>
      <w:pPr>
        <w:pStyle w:val="4"/>
        <w:keepNext w:val="0"/>
        <w:keepLines w:val="0"/>
        <w:widowControl/>
        <w:suppressLineNumbers w:val="0"/>
        <w:spacing w:line="432" w:lineRule="auto"/>
        <w:jc w:val="left"/>
        <w:rPr>
          <w:sz w:val="28"/>
          <w:szCs w:val="28"/>
        </w:rPr>
      </w:pPr>
      <w:r>
        <w:rPr>
          <w:sz w:val="28"/>
          <w:szCs w:val="28"/>
        </w:rPr>
        <w:t>　　（一）动员部署（8月中旬）。省各有关部门和单位制定相关标准、明确范围和要求；各地区制订方案，分解实施任务，落实责任，动员部署，宣传发动。</w:t>
      </w:r>
    </w:p>
    <w:p>
      <w:pPr>
        <w:pStyle w:val="4"/>
        <w:keepNext w:val="0"/>
        <w:keepLines w:val="0"/>
        <w:widowControl/>
        <w:suppressLineNumbers w:val="0"/>
        <w:spacing w:line="432" w:lineRule="auto"/>
        <w:jc w:val="left"/>
        <w:rPr>
          <w:sz w:val="28"/>
          <w:szCs w:val="28"/>
        </w:rPr>
      </w:pPr>
      <w:r>
        <w:rPr>
          <w:sz w:val="28"/>
          <w:szCs w:val="28"/>
        </w:rPr>
        <w:t>　　（二）集中排查、管控和整治（8月下旬—11月底）。各企业、单位全面开展风险点、危险源自查；各地区、各部门组织对本地区、本行业领域风险点、危险源进行深入排查、辨识、评估和定级，建立风险点、危险源数据库和电子图，制定风险管控措施，对已形成的隐患及时落实整治。</w:t>
      </w:r>
    </w:p>
    <w:p>
      <w:pPr>
        <w:pStyle w:val="4"/>
        <w:keepNext w:val="0"/>
        <w:keepLines w:val="0"/>
        <w:widowControl/>
        <w:suppressLineNumbers w:val="0"/>
        <w:spacing w:line="432" w:lineRule="auto"/>
        <w:jc w:val="left"/>
        <w:rPr>
          <w:sz w:val="28"/>
          <w:szCs w:val="28"/>
        </w:rPr>
      </w:pPr>
      <w:r>
        <w:rPr>
          <w:sz w:val="28"/>
          <w:szCs w:val="28"/>
        </w:rPr>
        <w:t>　　（三）巩固深化（12月）。对各地区排查整治工作进行重点督查，对重大风险管控情况逐一复查，巩固专项行动成果。全面总结和考核，进一步完善相关制度措施，推动建立城市风险点、危险源排查整治工作长效机制。</w:t>
      </w:r>
    </w:p>
    <w:p>
      <w:pPr>
        <w:pStyle w:val="4"/>
        <w:keepNext w:val="0"/>
        <w:keepLines w:val="0"/>
        <w:widowControl/>
        <w:suppressLineNumbers w:val="0"/>
        <w:spacing w:line="432" w:lineRule="auto"/>
        <w:jc w:val="left"/>
        <w:rPr>
          <w:sz w:val="28"/>
          <w:szCs w:val="28"/>
        </w:rPr>
      </w:pPr>
      <w:r>
        <w:rPr>
          <w:sz w:val="28"/>
          <w:szCs w:val="28"/>
        </w:rPr>
        <w:t>　</w:t>
      </w:r>
      <w:r>
        <w:rPr>
          <w:rStyle w:val="6"/>
          <w:sz w:val="28"/>
          <w:szCs w:val="28"/>
        </w:rPr>
        <w:t>　六、工作要求</w:t>
      </w:r>
    </w:p>
    <w:p>
      <w:pPr>
        <w:pStyle w:val="4"/>
        <w:keepNext w:val="0"/>
        <w:keepLines w:val="0"/>
        <w:widowControl/>
        <w:suppressLineNumbers w:val="0"/>
        <w:spacing w:line="432" w:lineRule="auto"/>
        <w:jc w:val="left"/>
        <w:rPr>
          <w:sz w:val="28"/>
          <w:szCs w:val="28"/>
        </w:rPr>
      </w:pPr>
      <w:r>
        <w:rPr>
          <w:sz w:val="28"/>
          <w:szCs w:val="28"/>
        </w:rPr>
        <w:t>　　（一）加强组织领导。省政府由各分管副省长结合各自分管工作和领域，进一步加强对安全生产工作的精细化管理，检查、督促分管行业、领域组织开展好排查整治行动，并明确由袁宝成副省长牵头，省政府副秘书长钟旋辉和省安全监管局局长黄晗具体负责，日常工作由省安委办承担。各地级以上市要加强对专项行动的组织领导，建立健全工作协调机制，主要领导亲自抓，明确分工、周密部署、层层落实，确保专项行动有序高效开展。</w:t>
      </w:r>
    </w:p>
    <w:p>
      <w:pPr>
        <w:pStyle w:val="4"/>
        <w:keepNext w:val="0"/>
        <w:keepLines w:val="0"/>
        <w:widowControl/>
        <w:suppressLineNumbers w:val="0"/>
        <w:spacing w:line="432" w:lineRule="auto"/>
        <w:jc w:val="left"/>
        <w:rPr>
          <w:sz w:val="28"/>
          <w:szCs w:val="28"/>
        </w:rPr>
      </w:pPr>
      <w:r>
        <w:rPr>
          <w:sz w:val="28"/>
          <w:szCs w:val="28"/>
        </w:rPr>
        <w:t>　　（二）注重统筹协调。要科学合理安排，全面有序推进专项行动。省有关部门要在督促推动基层单位开展普查摸底工作的同时，抓紧制定工作规范，明确辨识、分级标准及电子图、数据库建设标准和要求，确保各阶段工作顺利衔接。要保障开展专项行动的人力、物力和财力，加大财政投入，在专项行动中建设一批生命防护工程，提高安全风险管控能力。</w:t>
      </w:r>
    </w:p>
    <w:p>
      <w:pPr>
        <w:pStyle w:val="4"/>
        <w:keepNext w:val="0"/>
        <w:keepLines w:val="0"/>
        <w:widowControl/>
        <w:suppressLineNumbers w:val="0"/>
        <w:spacing w:line="432" w:lineRule="auto"/>
        <w:jc w:val="left"/>
        <w:rPr>
          <w:sz w:val="28"/>
          <w:szCs w:val="28"/>
        </w:rPr>
      </w:pPr>
      <w:r>
        <w:rPr>
          <w:sz w:val="28"/>
          <w:szCs w:val="28"/>
        </w:rPr>
        <w:t>　　（三）全面排查整治。要坚持“全覆盖、零容忍、严执法、重实效”的原则，按照“横向到边、纵向到底”的要求，层层发动基层力量，彻底排查城市中各类风险特别是重大风险，确保不留死角、盲区。要严格落实风险点、危险源的风险管控措施，把握规律、突出重点、综合施策、精准发力，采取切实可行措施整治存在的问题和隐患，降低城市安全风险。对存在重大隐患的风险点、危险源，该整改的整改、该关停的关停、该取缔的取缔，绝不姑息，绝不手软，全力筑牢城市安全防线。</w:t>
      </w:r>
    </w:p>
    <w:p>
      <w:pPr>
        <w:pStyle w:val="4"/>
        <w:keepNext w:val="0"/>
        <w:keepLines w:val="0"/>
        <w:widowControl/>
        <w:suppressLineNumbers w:val="0"/>
        <w:spacing w:line="432" w:lineRule="auto"/>
        <w:jc w:val="left"/>
        <w:rPr>
          <w:sz w:val="28"/>
          <w:szCs w:val="28"/>
        </w:rPr>
      </w:pPr>
      <w:r>
        <w:rPr>
          <w:sz w:val="28"/>
          <w:szCs w:val="28"/>
        </w:rPr>
        <w:t>　　（四）加强宣传引导。加大宣传、事故警示教育和网络舆情引导力度，全面提高广大企业、社会各界对城市风险点、危险源排查整治重要性的认识，营造全社会关注参与排查整治的良好氛围。要完善投诉举报平台系统，加强“12350”等各类安全生产相关举报电话的宣传和管理，实现各行业举报投诉系统在全省上下互联互通。对不及时受理群众举报、不依法查处事故隐患的行为，要坚决问责。同时，要完善隐患举报奖励制度，鼓励群众通过电话举报事故隐患，切实发挥社会监督作用。</w:t>
      </w:r>
    </w:p>
    <w:p>
      <w:pPr>
        <w:pStyle w:val="4"/>
        <w:keepNext w:val="0"/>
        <w:keepLines w:val="0"/>
        <w:widowControl/>
        <w:suppressLineNumbers w:val="0"/>
        <w:spacing w:line="432" w:lineRule="auto"/>
        <w:jc w:val="left"/>
        <w:rPr>
          <w:sz w:val="28"/>
          <w:szCs w:val="28"/>
        </w:rPr>
      </w:pPr>
      <w:r>
        <w:rPr>
          <w:sz w:val="28"/>
          <w:szCs w:val="28"/>
        </w:rPr>
        <w:t>　　（五）强化督促检查。由省安委办根据工作进展情况，适时组织专项督查。省安委会将专项行动作为2016年度安全生产重点工作纳入安全生产责任制考核，重点考核方案制定、组织领导、信息报送、工作成效（包括标准建立、评估定级、数据库和电子图建设、管控措施落实等）、工作总结等方面。各地区、各部门要加强协调指导，及时督促，强化考核。</w:t>
      </w:r>
    </w:p>
    <w:p>
      <w:pPr>
        <w:pStyle w:val="4"/>
        <w:keepNext w:val="0"/>
        <w:keepLines w:val="0"/>
        <w:widowControl/>
        <w:suppressLineNumbers w:val="0"/>
        <w:spacing w:line="432" w:lineRule="auto"/>
        <w:jc w:val="left"/>
        <w:rPr>
          <w:sz w:val="28"/>
          <w:szCs w:val="28"/>
        </w:rPr>
        <w:sectPr>
          <w:pgSz w:w="11906" w:h="16838"/>
          <w:pgMar w:top="1440" w:right="1800" w:bottom="1440" w:left="1800" w:header="851" w:footer="992" w:gutter="0"/>
          <w:cols w:space="425" w:num="1"/>
          <w:docGrid w:type="lines" w:linePitch="312" w:charSpace="0"/>
        </w:sectPr>
      </w:pPr>
      <w:r>
        <w:rPr>
          <w:sz w:val="28"/>
          <w:szCs w:val="28"/>
        </w:rPr>
        <w:t>　　各地区、省各部门和单位要将本地区、本部门、本单位专项行动工作方案（省各部门应包括相关工作规范、标准）和总体工作总结，分别于2016年8月31日和12月20日前报送省安委办。专项行动期间，各地区、省各部门和单位要在每月结束后10日内向省安委办报送上月《城市风险点、危险源排查整治专项行动排查情况表》和月工作进展情况。（联系人：贺磊、廖琦、孙兰军，电话：020—83135928、83135915、83135384，传真：020—83135940，邮箱，gdsawb@163.com）。</w:t>
      </w:r>
    </w:p>
    <w:p>
      <w:pPr>
        <w:spacing w:line="560" w:lineRule="exact"/>
        <w:rPr>
          <w:rFonts w:eastAsia="黑体"/>
          <w:color w:val="000000"/>
          <w:sz w:val="30"/>
          <w:szCs w:val="30"/>
        </w:rPr>
      </w:pPr>
      <w:r>
        <w:rPr>
          <w:rFonts w:eastAsia="仿宋"/>
          <w:color w:val="000000"/>
          <w:sz w:val="30"/>
          <w:szCs w:val="30"/>
        </w:rPr>
        <w:t xml:space="preserve">附件   </w:t>
      </w:r>
      <w:r>
        <w:rPr>
          <w:rFonts w:eastAsia="黑体"/>
          <w:color w:val="000000"/>
          <w:sz w:val="30"/>
          <w:szCs w:val="30"/>
        </w:rPr>
        <w:t xml:space="preserve">       </w:t>
      </w:r>
    </w:p>
    <w:p>
      <w:pPr>
        <w:spacing w:line="660" w:lineRule="exact"/>
        <w:rPr>
          <w:rFonts w:eastAsia="方正小标宋简体"/>
          <w:color w:val="000000"/>
          <w:sz w:val="44"/>
          <w:szCs w:val="44"/>
        </w:rPr>
      </w:pPr>
      <w:r>
        <w:rPr>
          <w:rFonts w:eastAsia="黑体"/>
          <w:color w:val="000000"/>
          <w:sz w:val="30"/>
          <w:szCs w:val="30"/>
        </w:rPr>
        <w:t xml:space="preserve">      </w:t>
      </w:r>
      <w:r>
        <w:rPr>
          <w:rFonts w:hint="eastAsia" w:eastAsia="黑体"/>
          <w:color w:val="000000"/>
          <w:sz w:val="30"/>
          <w:szCs w:val="30"/>
        </w:rPr>
        <w:t xml:space="preserve">          </w:t>
      </w:r>
      <w:r>
        <w:rPr>
          <w:rFonts w:eastAsia="方正小标宋简体"/>
          <w:color w:val="000000"/>
          <w:sz w:val="44"/>
          <w:szCs w:val="44"/>
        </w:rPr>
        <w:t>城市风险点、危险源排查整治专项行动排查情况表</w:t>
      </w:r>
    </w:p>
    <w:p>
      <w:pPr>
        <w:spacing w:line="560" w:lineRule="exact"/>
        <w:jc w:val="center"/>
        <w:rPr>
          <w:rFonts w:eastAsia="黑体"/>
          <w:color w:val="000000"/>
          <w:sz w:val="32"/>
          <w:szCs w:val="32"/>
        </w:rPr>
      </w:pPr>
      <w:r>
        <w:rPr>
          <w:rFonts w:eastAsia="黑体"/>
          <w:color w:val="000000"/>
          <w:sz w:val="32"/>
          <w:szCs w:val="32"/>
        </w:rPr>
        <w:t>（2016年   月）</w:t>
      </w:r>
    </w:p>
    <w:p>
      <w:pPr>
        <w:rPr>
          <w:rFonts w:eastAsia="黑体"/>
          <w:color w:val="000000"/>
          <w:sz w:val="44"/>
          <w:szCs w:val="44"/>
        </w:rPr>
      </w:pPr>
      <w:r>
        <w:rPr>
          <w:rFonts w:eastAsia="仿宋"/>
          <w:color w:val="000000"/>
          <w:sz w:val="30"/>
          <w:szCs w:val="30"/>
        </w:rPr>
        <w:t>表1</w:t>
      </w:r>
    </w:p>
    <w:tbl>
      <w:tblPr>
        <w:tblStyle w:val="8"/>
        <w:tblW w:w="13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2557"/>
        <w:gridCol w:w="2739"/>
        <w:gridCol w:w="2700"/>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401" w:type="dxa"/>
            <w:vAlign w:val="center"/>
          </w:tcPr>
          <w:p>
            <w:pPr>
              <w:spacing w:line="400" w:lineRule="exact"/>
              <w:jc w:val="center"/>
              <w:rPr>
                <w:rFonts w:eastAsia="仿宋"/>
                <w:b/>
                <w:bCs/>
                <w:color w:val="000000"/>
                <w:sz w:val="28"/>
                <w:szCs w:val="28"/>
              </w:rPr>
            </w:pPr>
            <w:r>
              <w:rPr>
                <w:rFonts w:eastAsia="仿宋"/>
                <w:b/>
                <w:bCs/>
                <w:color w:val="000000"/>
                <w:sz w:val="28"/>
                <w:szCs w:val="28"/>
              </w:rPr>
              <w:t>风险级别</w:t>
            </w:r>
          </w:p>
        </w:tc>
        <w:tc>
          <w:tcPr>
            <w:tcW w:w="2557" w:type="dxa"/>
            <w:vAlign w:val="center"/>
          </w:tcPr>
          <w:p>
            <w:pPr>
              <w:spacing w:line="400" w:lineRule="exact"/>
              <w:jc w:val="center"/>
              <w:rPr>
                <w:rFonts w:eastAsia="仿宋"/>
                <w:b/>
                <w:bCs/>
                <w:color w:val="000000"/>
                <w:sz w:val="28"/>
                <w:szCs w:val="28"/>
              </w:rPr>
            </w:pPr>
            <w:r>
              <w:rPr>
                <w:rFonts w:eastAsia="仿宋"/>
                <w:b/>
                <w:bCs/>
                <w:color w:val="000000"/>
                <w:sz w:val="28"/>
                <w:szCs w:val="28"/>
              </w:rPr>
              <w:t>红色风险</w:t>
            </w:r>
          </w:p>
        </w:tc>
        <w:tc>
          <w:tcPr>
            <w:tcW w:w="2739" w:type="dxa"/>
            <w:vAlign w:val="center"/>
          </w:tcPr>
          <w:p>
            <w:pPr>
              <w:spacing w:line="400" w:lineRule="exact"/>
              <w:jc w:val="center"/>
              <w:rPr>
                <w:rFonts w:eastAsia="仿宋"/>
                <w:b/>
                <w:bCs/>
                <w:color w:val="000000"/>
                <w:sz w:val="28"/>
                <w:szCs w:val="28"/>
              </w:rPr>
            </w:pPr>
            <w:r>
              <w:rPr>
                <w:rFonts w:eastAsia="仿宋"/>
                <w:b/>
                <w:bCs/>
                <w:color w:val="000000"/>
                <w:sz w:val="28"/>
                <w:szCs w:val="28"/>
              </w:rPr>
              <w:t>橙色风险</w:t>
            </w:r>
          </w:p>
        </w:tc>
        <w:tc>
          <w:tcPr>
            <w:tcW w:w="2700" w:type="dxa"/>
            <w:vAlign w:val="center"/>
          </w:tcPr>
          <w:p>
            <w:pPr>
              <w:spacing w:line="400" w:lineRule="exact"/>
              <w:jc w:val="center"/>
              <w:rPr>
                <w:rFonts w:eastAsia="仿宋"/>
                <w:b/>
                <w:bCs/>
                <w:color w:val="000000"/>
                <w:sz w:val="28"/>
                <w:szCs w:val="28"/>
              </w:rPr>
            </w:pPr>
            <w:r>
              <w:rPr>
                <w:rFonts w:eastAsia="仿宋"/>
                <w:b/>
                <w:bCs/>
                <w:color w:val="000000"/>
                <w:sz w:val="28"/>
                <w:szCs w:val="28"/>
              </w:rPr>
              <w:t>黄色风险</w:t>
            </w:r>
          </w:p>
        </w:tc>
        <w:tc>
          <w:tcPr>
            <w:tcW w:w="2483" w:type="dxa"/>
            <w:vAlign w:val="center"/>
          </w:tcPr>
          <w:p>
            <w:pPr>
              <w:spacing w:line="400" w:lineRule="exact"/>
              <w:rPr>
                <w:rFonts w:eastAsia="仿宋"/>
                <w:b/>
                <w:bCs/>
                <w:color w:val="000000"/>
                <w:sz w:val="28"/>
                <w:szCs w:val="28"/>
              </w:rPr>
            </w:pPr>
            <w:r>
              <w:rPr>
                <w:rFonts w:eastAsia="仿宋"/>
                <w:b/>
                <w:bCs/>
                <w:color w:val="000000"/>
                <w:sz w:val="28"/>
                <w:szCs w:val="28"/>
              </w:rPr>
              <w:t xml:space="preserve">    蓝色风险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401" w:type="dxa"/>
            <w:vAlign w:val="center"/>
          </w:tcPr>
          <w:p>
            <w:pPr>
              <w:spacing w:line="400" w:lineRule="exact"/>
              <w:jc w:val="center"/>
              <w:rPr>
                <w:rFonts w:eastAsia="仿宋"/>
                <w:b/>
                <w:bCs/>
                <w:color w:val="000000"/>
                <w:sz w:val="28"/>
                <w:szCs w:val="28"/>
              </w:rPr>
            </w:pPr>
            <w:r>
              <w:rPr>
                <w:rFonts w:eastAsia="仿宋"/>
                <w:b/>
                <w:bCs/>
                <w:color w:val="000000"/>
                <w:sz w:val="28"/>
                <w:szCs w:val="28"/>
              </w:rPr>
              <w:t>**县（市、区）</w:t>
            </w:r>
          </w:p>
          <w:p>
            <w:pPr>
              <w:spacing w:line="400" w:lineRule="exact"/>
              <w:jc w:val="center"/>
              <w:rPr>
                <w:rFonts w:eastAsia="仿宋"/>
                <w:b/>
                <w:bCs/>
                <w:color w:val="000000"/>
                <w:sz w:val="28"/>
                <w:szCs w:val="28"/>
              </w:rPr>
            </w:pPr>
            <w:r>
              <w:rPr>
                <w:rFonts w:eastAsia="仿宋"/>
                <w:b/>
                <w:bCs/>
                <w:color w:val="000000"/>
                <w:sz w:val="28"/>
                <w:szCs w:val="28"/>
              </w:rPr>
              <w:t>风险点、危险源数量</w:t>
            </w:r>
          </w:p>
        </w:tc>
        <w:tc>
          <w:tcPr>
            <w:tcW w:w="2557" w:type="dxa"/>
            <w:vAlign w:val="center"/>
          </w:tcPr>
          <w:p>
            <w:pPr>
              <w:spacing w:line="400" w:lineRule="exact"/>
              <w:jc w:val="center"/>
              <w:rPr>
                <w:rFonts w:eastAsia="仿宋"/>
                <w:b/>
                <w:bCs/>
                <w:color w:val="000000"/>
                <w:sz w:val="28"/>
                <w:szCs w:val="28"/>
              </w:rPr>
            </w:pPr>
          </w:p>
        </w:tc>
        <w:tc>
          <w:tcPr>
            <w:tcW w:w="2739" w:type="dxa"/>
            <w:vAlign w:val="center"/>
          </w:tcPr>
          <w:p>
            <w:pPr>
              <w:spacing w:line="400" w:lineRule="exact"/>
              <w:jc w:val="center"/>
              <w:rPr>
                <w:rFonts w:eastAsia="仿宋"/>
                <w:b/>
                <w:bCs/>
                <w:color w:val="000000"/>
                <w:sz w:val="28"/>
                <w:szCs w:val="28"/>
              </w:rPr>
            </w:pPr>
          </w:p>
        </w:tc>
        <w:tc>
          <w:tcPr>
            <w:tcW w:w="2700" w:type="dxa"/>
            <w:vAlign w:val="center"/>
          </w:tcPr>
          <w:p>
            <w:pPr>
              <w:spacing w:line="400" w:lineRule="exact"/>
              <w:jc w:val="center"/>
              <w:rPr>
                <w:rFonts w:eastAsia="仿宋"/>
                <w:b/>
                <w:bCs/>
                <w:color w:val="000000"/>
                <w:sz w:val="28"/>
                <w:szCs w:val="28"/>
              </w:rPr>
            </w:pPr>
          </w:p>
        </w:tc>
        <w:tc>
          <w:tcPr>
            <w:tcW w:w="2483" w:type="dxa"/>
            <w:vAlign w:val="center"/>
          </w:tcPr>
          <w:p>
            <w:pPr>
              <w:spacing w:line="400" w:lineRule="exact"/>
              <w:rPr>
                <w:rFonts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401" w:type="dxa"/>
            <w:vAlign w:val="center"/>
          </w:tcPr>
          <w:p>
            <w:pPr>
              <w:spacing w:line="400" w:lineRule="exact"/>
              <w:jc w:val="center"/>
              <w:rPr>
                <w:rFonts w:eastAsia="仿宋"/>
                <w:b/>
                <w:bCs/>
                <w:color w:val="000000"/>
                <w:sz w:val="28"/>
                <w:szCs w:val="28"/>
              </w:rPr>
            </w:pPr>
            <w:r>
              <w:rPr>
                <w:rFonts w:eastAsia="仿宋"/>
                <w:b/>
                <w:bCs/>
                <w:color w:val="000000"/>
                <w:sz w:val="28"/>
                <w:szCs w:val="28"/>
              </w:rPr>
              <w:t>**县（市、区）</w:t>
            </w:r>
          </w:p>
          <w:p>
            <w:pPr>
              <w:spacing w:line="400" w:lineRule="exact"/>
              <w:jc w:val="center"/>
              <w:rPr>
                <w:rFonts w:eastAsia="仿宋"/>
                <w:b/>
                <w:bCs/>
                <w:color w:val="000000"/>
                <w:sz w:val="28"/>
                <w:szCs w:val="28"/>
              </w:rPr>
            </w:pPr>
            <w:r>
              <w:rPr>
                <w:rFonts w:eastAsia="仿宋"/>
                <w:b/>
                <w:bCs/>
                <w:color w:val="000000"/>
                <w:sz w:val="28"/>
                <w:szCs w:val="28"/>
              </w:rPr>
              <w:t>风险点、危险源数量</w:t>
            </w:r>
          </w:p>
        </w:tc>
        <w:tc>
          <w:tcPr>
            <w:tcW w:w="2557" w:type="dxa"/>
            <w:vAlign w:val="center"/>
          </w:tcPr>
          <w:p>
            <w:pPr>
              <w:spacing w:line="400" w:lineRule="exact"/>
              <w:jc w:val="center"/>
              <w:rPr>
                <w:rFonts w:eastAsia="仿宋"/>
                <w:b/>
                <w:bCs/>
                <w:color w:val="000000"/>
                <w:sz w:val="28"/>
                <w:szCs w:val="28"/>
              </w:rPr>
            </w:pPr>
          </w:p>
        </w:tc>
        <w:tc>
          <w:tcPr>
            <w:tcW w:w="2739" w:type="dxa"/>
            <w:vAlign w:val="center"/>
          </w:tcPr>
          <w:p>
            <w:pPr>
              <w:spacing w:line="400" w:lineRule="exact"/>
              <w:jc w:val="center"/>
              <w:rPr>
                <w:rFonts w:eastAsia="仿宋"/>
                <w:b/>
                <w:bCs/>
                <w:color w:val="000000"/>
                <w:sz w:val="28"/>
                <w:szCs w:val="28"/>
              </w:rPr>
            </w:pPr>
          </w:p>
        </w:tc>
        <w:tc>
          <w:tcPr>
            <w:tcW w:w="2700" w:type="dxa"/>
            <w:vAlign w:val="center"/>
          </w:tcPr>
          <w:p>
            <w:pPr>
              <w:spacing w:line="400" w:lineRule="exact"/>
              <w:jc w:val="center"/>
              <w:rPr>
                <w:rFonts w:eastAsia="仿宋"/>
                <w:b/>
                <w:bCs/>
                <w:color w:val="000000"/>
                <w:sz w:val="28"/>
                <w:szCs w:val="28"/>
              </w:rPr>
            </w:pPr>
          </w:p>
        </w:tc>
        <w:tc>
          <w:tcPr>
            <w:tcW w:w="2483" w:type="dxa"/>
            <w:vAlign w:val="center"/>
          </w:tcPr>
          <w:p>
            <w:pPr>
              <w:spacing w:line="400" w:lineRule="exact"/>
              <w:rPr>
                <w:rFonts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401" w:type="dxa"/>
            <w:vAlign w:val="center"/>
          </w:tcPr>
          <w:p>
            <w:pPr>
              <w:spacing w:line="400" w:lineRule="exact"/>
              <w:jc w:val="center"/>
              <w:rPr>
                <w:rFonts w:eastAsia="仿宋"/>
                <w:b/>
                <w:bCs/>
                <w:color w:val="000000"/>
                <w:sz w:val="28"/>
                <w:szCs w:val="28"/>
              </w:rPr>
            </w:pPr>
            <w:r>
              <w:rPr>
                <w:rFonts w:eastAsia="仿宋"/>
                <w:b/>
                <w:bCs/>
                <w:color w:val="000000"/>
                <w:sz w:val="28"/>
                <w:szCs w:val="28"/>
              </w:rPr>
              <w:t>**县（市、区）</w:t>
            </w:r>
          </w:p>
          <w:p>
            <w:pPr>
              <w:spacing w:line="400" w:lineRule="exact"/>
              <w:jc w:val="center"/>
              <w:rPr>
                <w:rFonts w:eastAsia="仿宋"/>
                <w:b/>
                <w:bCs/>
                <w:color w:val="000000"/>
                <w:sz w:val="28"/>
                <w:szCs w:val="28"/>
              </w:rPr>
            </w:pPr>
            <w:r>
              <w:rPr>
                <w:rFonts w:eastAsia="仿宋"/>
                <w:b/>
                <w:bCs/>
                <w:color w:val="000000"/>
                <w:sz w:val="28"/>
                <w:szCs w:val="28"/>
              </w:rPr>
              <w:t>风险点、危险源数量</w:t>
            </w:r>
          </w:p>
        </w:tc>
        <w:tc>
          <w:tcPr>
            <w:tcW w:w="2557" w:type="dxa"/>
            <w:vAlign w:val="center"/>
          </w:tcPr>
          <w:p>
            <w:pPr>
              <w:spacing w:line="400" w:lineRule="exact"/>
              <w:jc w:val="center"/>
              <w:rPr>
                <w:rFonts w:eastAsia="仿宋"/>
                <w:b/>
                <w:bCs/>
                <w:color w:val="000000"/>
                <w:sz w:val="28"/>
                <w:szCs w:val="28"/>
              </w:rPr>
            </w:pPr>
          </w:p>
        </w:tc>
        <w:tc>
          <w:tcPr>
            <w:tcW w:w="2739" w:type="dxa"/>
            <w:vAlign w:val="center"/>
          </w:tcPr>
          <w:p>
            <w:pPr>
              <w:spacing w:line="400" w:lineRule="exact"/>
              <w:jc w:val="center"/>
              <w:rPr>
                <w:rFonts w:eastAsia="仿宋"/>
                <w:b/>
                <w:bCs/>
                <w:color w:val="000000"/>
                <w:sz w:val="28"/>
                <w:szCs w:val="28"/>
              </w:rPr>
            </w:pPr>
          </w:p>
        </w:tc>
        <w:tc>
          <w:tcPr>
            <w:tcW w:w="2700" w:type="dxa"/>
            <w:vAlign w:val="center"/>
          </w:tcPr>
          <w:p>
            <w:pPr>
              <w:spacing w:line="400" w:lineRule="exact"/>
              <w:jc w:val="center"/>
              <w:rPr>
                <w:rFonts w:eastAsia="仿宋"/>
                <w:b/>
                <w:bCs/>
                <w:color w:val="000000"/>
                <w:sz w:val="28"/>
                <w:szCs w:val="28"/>
              </w:rPr>
            </w:pPr>
          </w:p>
        </w:tc>
        <w:tc>
          <w:tcPr>
            <w:tcW w:w="2483" w:type="dxa"/>
            <w:vAlign w:val="center"/>
          </w:tcPr>
          <w:p>
            <w:pPr>
              <w:spacing w:line="400" w:lineRule="exact"/>
              <w:rPr>
                <w:rFonts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3401" w:type="dxa"/>
            <w:vAlign w:val="center"/>
          </w:tcPr>
          <w:p>
            <w:pPr>
              <w:spacing w:line="400" w:lineRule="exact"/>
              <w:jc w:val="center"/>
              <w:rPr>
                <w:rFonts w:eastAsia="仿宋"/>
                <w:b/>
                <w:bCs/>
                <w:color w:val="000000"/>
                <w:sz w:val="28"/>
                <w:szCs w:val="28"/>
              </w:rPr>
            </w:pPr>
            <w:r>
              <w:rPr>
                <w:rFonts w:eastAsia="仿宋"/>
                <w:b/>
                <w:bCs/>
                <w:color w:val="000000"/>
                <w:sz w:val="28"/>
                <w:szCs w:val="28"/>
              </w:rPr>
              <w:t>**县（市、区）</w:t>
            </w:r>
          </w:p>
          <w:p>
            <w:pPr>
              <w:spacing w:line="400" w:lineRule="exact"/>
              <w:jc w:val="center"/>
              <w:rPr>
                <w:rFonts w:eastAsia="仿宋"/>
                <w:b/>
                <w:bCs/>
                <w:color w:val="000000"/>
                <w:sz w:val="28"/>
                <w:szCs w:val="28"/>
              </w:rPr>
            </w:pPr>
            <w:r>
              <w:rPr>
                <w:rFonts w:eastAsia="仿宋"/>
                <w:b/>
                <w:bCs/>
                <w:color w:val="000000"/>
                <w:sz w:val="28"/>
                <w:szCs w:val="28"/>
              </w:rPr>
              <w:t>风险点、危险源数量</w:t>
            </w:r>
          </w:p>
        </w:tc>
        <w:tc>
          <w:tcPr>
            <w:tcW w:w="2557" w:type="dxa"/>
            <w:vAlign w:val="center"/>
          </w:tcPr>
          <w:p>
            <w:pPr>
              <w:spacing w:line="400" w:lineRule="exact"/>
              <w:jc w:val="center"/>
              <w:rPr>
                <w:rFonts w:eastAsia="仿宋"/>
                <w:b/>
                <w:bCs/>
                <w:color w:val="000000"/>
                <w:sz w:val="28"/>
                <w:szCs w:val="28"/>
              </w:rPr>
            </w:pPr>
          </w:p>
        </w:tc>
        <w:tc>
          <w:tcPr>
            <w:tcW w:w="2739" w:type="dxa"/>
            <w:vAlign w:val="center"/>
          </w:tcPr>
          <w:p>
            <w:pPr>
              <w:spacing w:line="400" w:lineRule="exact"/>
              <w:jc w:val="center"/>
              <w:rPr>
                <w:rFonts w:eastAsia="仿宋"/>
                <w:b/>
                <w:bCs/>
                <w:color w:val="000000"/>
                <w:sz w:val="28"/>
                <w:szCs w:val="28"/>
              </w:rPr>
            </w:pPr>
          </w:p>
        </w:tc>
        <w:tc>
          <w:tcPr>
            <w:tcW w:w="2700" w:type="dxa"/>
            <w:vAlign w:val="center"/>
          </w:tcPr>
          <w:p>
            <w:pPr>
              <w:spacing w:line="400" w:lineRule="exact"/>
              <w:jc w:val="center"/>
              <w:rPr>
                <w:rFonts w:eastAsia="仿宋"/>
                <w:b/>
                <w:bCs/>
                <w:color w:val="000000"/>
                <w:sz w:val="28"/>
                <w:szCs w:val="28"/>
              </w:rPr>
            </w:pPr>
          </w:p>
        </w:tc>
        <w:tc>
          <w:tcPr>
            <w:tcW w:w="2483" w:type="dxa"/>
            <w:vAlign w:val="center"/>
          </w:tcPr>
          <w:p>
            <w:pPr>
              <w:spacing w:line="400" w:lineRule="exact"/>
              <w:rPr>
                <w:rFonts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3401" w:type="dxa"/>
            <w:vAlign w:val="center"/>
          </w:tcPr>
          <w:p>
            <w:pPr>
              <w:spacing w:line="400" w:lineRule="exact"/>
              <w:jc w:val="center"/>
              <w:rPr>
                <w:rFonts w:eastAsia="仿宋"/>
                <w:b/>
                <w:bCs/>
                <w:color w:val="000000"/>
                <w:sz w:val="28"/>
                <w:szCs w:val="28"/>
              </w:rPr>
            </w:pPr>
            <w:r>
              <w:rPr>
                <w:rFonts w:eastAsia="仿宋"/>
                <w:b/>
                <w:bCs/>
                <w:color w:val="000000"/>
                <w:sz w:val="28"/>
                <w:szCs w:val="28"/>
              </w:rPr>
              <w:t>风险点、危险源</w:t>
            </w:r>
          </w:p>
          <w:p>
            <w:pPr>
              <w:spacing w:line="400" w:lineRule="exact"/>
              <w:jc w:val="center"/>
              <w:rPr>
                <w:rFonts w:eastAsia="仿宋"/>
                <w:b/>
                <w:bCs/>
                <w:color w:val="000000"/>
                <w:sz w:val="28"/>
                <w:szCs w:val="28"/>
              </w:rPr>
            </w:pPr>
            <w:r>
              <w:rPr>
                <w:rFonts w:eastAsia="仿宋"/>
                <w:b/>
                <w:bCs/>
                <w:color w:val="000000"/>
                <w:sz w:val="28"/>
                <w:szCs w:val="28"/>
              </w:rPr>
              <w:t>总数量（个）</w:t>
            </w:r>
          </w:p>
        </w:tc>
        <w:tc>
          <w:tcPr>
            <w:tcW w:w="2557" w:type="dxa"/>
            <w:vAlign w:val="top"/>
          </w:tcPr>
          <w:p>
            <w:pPr>
              <w:rPr>
                <w:rFonts w:eastAsia="仿宋"/>
                <w:b/>
                <w:bCs/>
                <w:color w:val="000000"/>
                <w:sz w:val="28"/>
                <w:szCs w:val="28"/>
              </w:rPr>
            </w:pPr>
          </w:p>
        </w:tc>
        <w:tc>
          <w:tcPr>
            <w:tcW w:w="2739" w:type="dxa"/>
            <w:vAlign w:val="top"/>
          </w:tcPr>
          <w:p>
            <w:pPr>
              <w:rPr>
                <w:rFonts w:eastAsia="仿宋"/>
                <w:b/>
                <w:bCs/>
                <w:color w:val="000000"/>
                <w:sz w:val="28"/>
                <w:szCs w:val="28"/>
              </w:rPr>
            </w:pPr>
          </w:p>
        </w:tc>
        <w:tc>
          <w:tcPr>
            <w:tcW w:w="2700" w:type="dxa"/>
            <w:vAlign w:val="top"/>
          </w:tcPr>
          <w:p>
            <w:pPr>
              <w:rPr>
                <w:rFonts w:eastAsia="仿宋"/>
                <w:b/>
                <w:bCs/>
                <w:color w:val="000000"/>
                <w:sz w:val="28"/>
                <w:szCs w:val="28"/>
              </w:rPr>
            </w:pPr>
          </w:p>
        </w:tc>
        <w:tc>
          <w:tcPr>
            <w:tcW w:w="2483" w:type="dxa"/>
            <w:vAlign w:val="top"/>
          </w:tcPr>
          <w:p>
            <w:pPr>
              <w:rPr>
                <w:rFonts w:eastAsia="仿宋"/>
                <w:b/>
                <w:bCs/>
                <w:color w:val="000000"/>
                <w:sz w:val="28"/>
                <w:szCs w:val="28"/>
              </w:rPr>
            </w:pPr>
          </w:p>
        </w:tc>
      </w:tr>
    </w:tbl>
    <w:p>
      <w:pPr>
        <w:spacing w:line="560" w:lineRule="exact"/>
        <w:rPr>
          <w:rFonts w:eastAsia="黑体"/>
          <w:color w:val="000000"/>
          <w:sz w:val="28"/>
          <w:szCs w:val="28"/>
        </w:rPr>
      </w:pPr>
      <w:r>
        <w:rPr>
          <w:rFonts w:hint="eastAsia" w:eastAsia="黑体"/>
          <w:color w:val="000000"/>
          <w:sz w:val="28"/>
          <w:szCs w:val="28"/>
        </w:rPr>
        <w:t xml:space="preserve">     </w:t>
      </w:r>
      <w:r>
        <w:rPr>
          <w:rFonts w:eastAsia="黑体"/>
          <w:color w:val="000000"/>
          <w:sz w:val="28"/>
          <w:szCs w:val="28"/>
        </w:rPr>
        <w:t xml:space="preserve">填报单位：                                                       </w:t>
      </w:r>
      <w:r>
        <w:rPr>
          <w:rFonts w:hint="eastAsia" w:eastAsia="黑体"/>
          <w:color w:val="000000"/>
          <w:sz w:val="28"/>
          <w:szCs w:val="28"/>
        </w:rPr>
        <w:t xml:space="preserve"> </w:t>
      </w:r>
      <w:r>
        <w:rPr>
          <w:rFonts w:eastAsia="黑体"/>
          <w:color w:val="000000"/>
          <w:sz w:val="28"/>
          <w:szCs w:val="28"/>
        </w:rPr>
        <w:t xml:space="preserve">     填报日期：   </w:t>
      </w:r>
      <w:r>
        <w:rPr>
          <w:rFonts w:hint="eastAsia" w:eastAsia="黑体"/>
          <w:color w:val="000000"/>
          <w:sz w:val="28"/>
          <w:szCs w:val="28"/>
        </w:rPr>
        <w:t xml:space="preserve"> </w:t>
      </w:r>
      <w:r>
        <w:rPr>
          <w:rFonts w:eastAsia="黑体"/>
          <w:color w:val="000000"/>
          <w:sz w:val="28"/>
          <w:szCs w:val="28"/>
        </w:rPr>
        <w:t xml:space="preserve">年 </w:t>
      </w:r>
      <w:r>
        <w:rPr>
          <w:rFonts w:hint="eastAsia" w:eastAsia="黑体"/>
          <w:color w:val="000000"/>
          <w:sz w:val="28"/>
          <w:szCs w:val="28"/>
        </w:rPr>
        <w:t xml:space="preserve"> </w:t>
      </w:r>
      <w:r>
        <w:rPr>
          <w:rFonts w:eastAsia="黑体"/>
          <w:color w:val="000000"/>
          <w:sz w:val="28"/>
          <w:szCs w:val="28"/>
        </w:rPr>
        <w:t xml:space="preserve">  月 </w:t>
      </w:r>
      <w:r>
        <w:rPr>
          <w:rFonts w:hint="eastAsia" w:eastAsia="黑体"/>
          <w:color w:val="000000"/>
          <w:sz w:val="28"/>
          <w:szCs w:val="28"/>
        </w:rPr>
        <w:t xml:space="preserve"> </w:t>
      </w:r>
      <w:r>
        <w:rPr>
          <w:rFonts w:eastAsia="黑体"/>
          <w:color w:val="000000"/>
          <w:sz w:val="28"/>
          <w:szCs w:val="28"/>
        </w:rPr>
        <w:t xml:space="preserve">  日</w:t>
      </w:r>
    </w:p>
    <w:p>
      <w:pPr>
        <w:spacing w:line="560" w:lineRule="exact"/>
        <w:rPr>
          <w:rFonts w:eastAsia="黑体"/>
          <w:color w:val="000000"/>
          <w:sz w:val="28"/>
          <w:szCs w:val="28"/>
        </w:rPr>
      </w:pPr>
    </w:p>
    <w:p>
      <w:pPr>
        <w:spacing w:line="660" w:lineRule="exact"/>
        <w:jc w:val="center"/>
        <w:rPr>
          <w:rFonts w:eastAsia="方正小标宋简体"/>
          <w:color w:val="000000"/>
          <w:sz w:val="44"/>
          <w:szCs w:val="44"/>
        </w:rPr>
      </w:pPr>
      <w:r>
        <w:rPr>
          <w:rFonts w:eastAsia="方正小标宋简体"/>
          <w:color w:val="000000"/>
          <w:sz w:val="44"/>
          <w:szCs w:val="44"/>
        </w:rPr>
        <w:t>城市风险点、危险源排查整治专项行动排查情况表</w:t>
      </w:r>
    </w:p>
    <w:p>
      <w:pPr>
        <w:spacing w:line="560" w:lineRule="exact"/>
        <w:jc w:val="center"/>
        <w:rPr>
          <w:rFonts w:eastAsia="仿宋"/>
          <w:color w:val="000000"/>
          <w:sz w:val="30"/>
          <w:szCs w:val="30"/>
        </w:rPr>
      </w:pPr>
      <w:r>
        <w:rPr>
          <w:rFonts w:eastAsia="黑体"/>
          <w:color w:val="000000"/>
          <w:sz w:val="32"/>
          <w:szCs w:val="32"/>
        </w:rPr>
        <w:t xml:space="preserve">（2016年  </w:t>
      </w:r>
      <w:r>
        <w:rPr>
          <w:rFonts w:hint="eastAsia" w:eastAsia="黑体"/>
          <w:color w:val="000000"/>
          <w:sz w:val="32"/>
          <w:szCs w:val="32"/>
        </w:rPr>
        <w:t xml:space="preserve"> </w:t>
      </w:r>
      <w:r>
        <w:rPr>
          <w:rFonts w:eastAsia="黑体"/>
          <w:color w:val="000000"/>
          <w:sz w:val="32"/>
          <w:szCs w:val="32"/>
        </w:rPr>
        <w:t xml:space="preserve"> 月</w:t>
      </w:r>
      <w:r>
        <w:rPr>
          <w:rFonts w:hint="eastAsia" w:eastAsia="黑体"/>
          <w:color w:val="000000"/>
          <w:sz w:val="32"/>
          <w:szCs w:val="32"/>
        </w:rPr>
        <w:t>）</w:t>
      </w:r>
    </w:p>
    <w:p>
      <w:pPr>
        <w:spacing w:line="560" w:lineRule="exact"/>
        <w:rPr>
          <w:rFonts w:eastAsia="仿宋"/>
          <w:color w:val="000000"/>
          <w:sz w:val="30"/>
          <w:szCs w:val="30"/>
        </w:rPr>
      </w:pPr>
      <w:r>
        <w:rPr>
          <w:rFonts w:eastAsia="仿宋"/>
          <w:color w:val="000000"/>
          <w:sz w:val="30"/>
          <w:szCs w:val="30"/>
        </w:rPr>
        <w:t>表2</w:t>
      </w:r>
    </w:p>
    <w:tbl>
      <w:tblPr>
        <w:tblStyle w:val="8"/>
        <w:tblW w:w="13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279"/>
        <w:gridCol w:w="2217"/>
        <w:gridCol w:w="2501"/>
        <w:gridCol w:w="248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2076" w:type="dxa"/>
            <w:vAlign w:val="center"/>
          </w:tcPr>
          <w:p>
            <w:pPr>
              <w:spacing w:line="400" w:lineRule="exact"/>
              <w:jc w:val="center"/>
              <w:rPr>
                <w:rFonts w:eastAsia="仿宋"/>
                <w:b/>
                <w:bCs/>
                <w:color w:val="000000"/>
                <w:sz w:val="28"/>
                <w:szCs w:val="28"/>
              </w:rPr>
            </w:pPr>
            <w:r>
              <w:rPr>
                <w:rFonts w:eastAsia="仿宋"/>
                <w:b/>
                <w:bCs/>
                <w:color w:val="000000"/>
                <w:sz w:val="28"/>
                <w:szCs w:val="28"/>
              </w:rPr>
              <w:t>风险级别</w:t>
            </w:r>
          </w:p>
        </w:tc>
        <w:tc>
          <w:tcPr>
            <w:tcW w:w="2279" w:type="dxa"/>
            <w:vAlign w:val="center"/>
          </w:tcPr>
          <w:p>
            <w:pPr>
              <w:spacing w:line="400" w:lineRule="exact"/>
              <w:jc w:val="center"/>
              <w:rPr>
                <w:rFonts w:eastAsia="仿宋"/>
                <w:b/>
                <w:bCs/>
                <w:color w:val="000000"/>
                <w:sz w:val="28"/>
                <w:szCs w:val="28"/>
              </w:rPr>
            </w:pPr>
            <w:r>
              <w:rPr>
                <w:rFonts w:eastAsia="仿宋"/>
                <w:b/>
                <w:bCs/>
                <w:color w:val="000000"/>
                <w:sz w:val="28"/>
                <w:szCs w:val="28"/>
              </w:rPr>
              <w:t>风险点</w:t>
            </w:r>
            <w:r>
              <w:rPr>
                <w:rFonts w:hint="eastAsia" w:eastAsia="仿宋"/>
                <w:b/>
                <w:bCs/>
                <w:color w:val="000000"/>
                <w:sz w:val="28"/>
                <w:szCs w:val="28"/>
              </w:rPr>
              <w:t>、</w:t>
            </w:r>
            <w:r>
              <w:rPr>
                <w:rFonts w:eastAsia="仿宋"/>
                <w:b/>
                <w:bCs/>
                <w:color w:val="000000"/>
                <w:sz w:val="28"/>
                <w:szCs w:val="28"/>
              </w:rPr>
              <w:t>危险源</w:t>
            </w:r>
          </w:p>
          <w:p>
            <w:pPr>
              <w:spacing w:line="400" w:lineRule="exact"/>
              <w:jc w:val="center"/>
              <w:rPr>
                <w:rFonts w:eastAsia="仿宋"/>
                <w:b/>
                <w:bCs/>
                <w:color w:val="000000"/>
                <w:sz w:val="28"/>
                <w:szCs w:val="28"/>
              </w:rPr>
            </w:pPr>
            <w:r>
              <w:rPr>
                <w:rFonts w:hint="eastAsia" w:eastAsia="仿宋"/>
                <w:b/>
                <w:bCs/>
                <w:color w:val="000000"/>
                <w:sz w:val="28"/>
                <w:szCs w:val="28"/>
              </w:rPr>
              <w:t>或单位</w:t>
            </w:r>
            <w:r>
              <w:rPr>
                <w:rFonts w:eastAsia="仿宋"/>
                <w:b/>
                <w:bCs/>
                <w:color w:val="000000"/>
                <w:sz w:val="28"/>
                <w:szCs w:val="28"/>
              </w:rPr>
              <w:t>名称</w:t>
            </w:r>
          </w:p>
        </w:tc>
        <w:tc>
          <w:tcPr>
            <w:tcW w:w="2217" w:type="dxa"/>
            <w:vAlign w:val="center"/>
          </w:tcPr>
          <w:p>
            <w:pPr>
              <w:spacing w:line="400" w:lineRule="exact"/>
              <w:jc w:val="center"/>
              <w:rPr>
                <w:rFonts w:eastAsia="仿宋"/>
                <w:b/>
                <w:bCs/>
                <w:color w:val="000000"/>
                <w:sz w:val="28"/>
                <w:szCs w:val="28"/>
              </w:rPr>
            </w:pPr>
            <w:r>
              <w:rPr>
                <w:rFonts w:eastAsia="仿宋"/>
                <w:b/>
                <w:bCs/>
                <w:color w:val="000000"/>
                <w:sz w:val="28"/>
                <w:szCs w:val="28"/>
              </w:rPr>
              <w:t>风险点</w:t>
            </w:r>
            <w:r>
              <w:rPr>
                <w:rFonts w:hint="eastAsia" w:eastAsia="仿宋"/>
                <w:b/>
                <w:bCs/>
                <w:color w:val="000000"/>
                <w:sz w:val="28"/>
                <w:szCs w:val="28"/>
              </w:rPr>
              <w:t>、</w:t>
            </w:r>
            <w:r>
              <w:rPr>
                <w:rFonts w:eastAsia="仿宋"/>
                <w:b/>
                <w:bCs/>
                <w:color w:val="000000"/>
                <w:sz w:val="28"/>
                <w:szCs w:val="28"/>
              </w:rPr>
              <w:t>危险源</w:t>
            </w:r>
          </w:p>
          <w:p>
            <w:pPr>
              <w:jc w:val="center"/>
              <w:rPr>
                <w:rFonts w:eastAsia="仿宋"/>
                <w:b/>
                <w:bCs/>
                <w:color w:val="000000"/>
                <w:sz w:val="28"/>
                <w:szCs w:val="28"/>
              </w:rPr>
            </w:pPr>
            <w:r>
              <w:rPr>
                <w:rFonts w:hint="eastAsia" w:eastAsia="仿宋"/>
                <w:b/>
                <w:bCs/>
                <w:color w:val="000000"/>
                <w:sz w:val="28"/>
                <w:szCs w:val="28"/>
              </w:rPr>
              <w:t>类型</w:t>
            </w:r>
          </w:p>
        </w:tc>
        <w:tc>
          <w:tcPr>
            <w:tcW w:w="2501" w:type="dxa"/>
            <w:vAlign w:val="center"/>
          </w:tcPr>
          <w:p>
            <w:pPr>
              <w:jc w:val="center"/>
              <w:rPr>
                <w:rFonts w:eastAsia="仿宋"/>
                <w:b/>
                <w:bCs/>
                <w:color w:val="000000"/>
                <w:sz w:val="28"/>
                <w:szCs w:val="28"/>
              </w:rPr>
            </w:pPr>
            <w:r>
              <w:rPr>
                <w:rFonts w:eastAsia="仿宋"/>
                <w:b/>
                <w:bCs/>
                <w:color w:val="000000"/>
                <w:sz w:val="28"/>
                <w:szCs w:val="28"/>
              </w:rPr>
              <w:t>辖区（具体到县区）</w:t>
            </w:r>
          </w:p>
        </w:tc>
        <w:tc>
          <w:tcPr>
            <w:tcW w:w="2480" w:type="dxa"/>
            <w:vAlign w:val="center"/>
          </w:tcPr>
          <w:p>
            <w:pPr>
              <w:jc w:val="center"/>
              <w:rPr>
                <w:rFonts w:eastAsia="仿宋"/>
                <w:b/>
                <w:bCs/>
                <w:color w:val="000000"/>
                <w:sz w:val="28"/>
                <w:szCs w:val="28"/>
              </w:rPr>
            </w:pPr>
            <w:r>
              <w:rPr>
                <w:rFonts w:eastAsia="仿宋"/>
                <w:b/>
                <w:bCs/>
                <w:color w:val="000000"/>
                <w:sz w:val="28"/>
                <w:szCs w:val="28"/>
              </w:rPr>
              <w:t>存在的主要风险</w:t>
            </w:r>
          </w:p>
        </w:tc>
        <w:tc>
          <w:tcPr>
            <w:tcW w:w="2283" w:type="dxa"/>
            <w:vAlign w:val="center"/>
          </w:tcPr>
          <w:p>
            <w:pPr>
              <w:jc w:val="center"/>
              <w:rPr>
                <w:rFonts w:eastAsia="仿宋"/>
                <w:b/>
                <w:bCs/>
                <w:color w:val="000000"/>
                <w:sz w:val="28"/>
                <w:szCs w:val="28"/>
              </w:rPr>
            </w:pPr>
            <w:r>
              <w:rPr>
                <w:rFonts w:eastAsia="仿宋"/>
                <w:b/>
                <w:bCs/>
                <w:color w:val="000000"/>
                <w:sz w:val="28"/>
                <w:szCs w:val="28"/>
              </w:rPr>
              <w:t>采取的管控措施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076" w:type="dxa"/>
            <w:vMerge w:val="restart"/>
            <w:vAlign w:val="center"/>
          </w:tcPr>
          <w:p>
            <w:pPr>
              <w:spacing w:line="400" w:lineRule="exact"/>
              <w:jc w:val="center"/>
              <w:rPr>
                <w:rFonts w:eastAsia="仿宋"/>
                <w:color w:val="000000"/>
                <w:sz w:val="28"/>
                <w:szCs w:val="28"/>
              </w:rPr>
            </w:pPr>
            <w:r>
              <w:rPr>
                <w:rFonts w:eastAsia="仿宋"/>
                <w:b/>
                <w:bCs/>
                <w:color w:val="000000"/>
                <w:sz w:val="28"/>
                <w:szCs w:val="28"/>
              </w:rPr>
              <w:t>红色风险</w:t>
            </w:r>
          </w:p>
        </w:tc>
        <w:tc>
          <w:tcPr>
            <w:tcW w:w="2279" w:type="dxa"/>
            <w:vAlign w:val="top"/>
          </w:tcPr>
          <w:p>
            <w:pPr>
              <w:jc w:val="center"/>
              <w:rPr>
                <w:rFonts w:eastAsia="仿宋"/>
                <w:color w:val="000000"/>
                <w:sz w:val="28"/>
                <w:szCs w:val="28"/>
              </w:rPr>
            </w:pPr>
          </w:p>
        </w:tc>
        <w:tc>
          <w:tcPr>
            <w:tcW w:w="2217" w:type="dxa"/>
            <w:vAlign w:val="top"/>
          </w:tcPr>
          <w:p>
            <w:pPr>
              <w:jc w:val="center"/>
              <w:rPr>
                <w:rFonts w:eastAsia="仿宋"/>
                <w:color w:val="000000"/>
                <w:sz w:val="28"/>
                <w:szCs w:val="28"/>
              </w:rPr>
            </w:pPr>
          </w:p>
        </w:tc>
        <w:tc>
          <w:tcPr>
            <w:tcW w:w="2501" w:type="dxa"/>
            <w:vAlign w:val="top"/>
          </w:tcPr>
          <w:p>
            <w:pPr>
              <w:jc w:val="center"/>
              <w:rPr>
                <w:rFonts w:eastAsia="仿宋"/>
                <w:color w:val="000000"/>
                <w:sz w:val="28"/>
                <w:szCs w:val="28"/>
              </w:rPr>
            </w:pPr>
          </w:p>
        </w:tc>
        <w:tc>
          <w:tcPr>
            <w:tcW w:w="2480" w:type="dxa"/>
            <w:vAlign w:val="top"/>
          </w:tcPr>
          <w:p>
            <w:pPr>
              <w:jc w:val="center"/>
              <w:rPr>
                <w:rFonts w:eastAsia="仿宋"/>
                <w:color w:val="000000"/>
                <w:sz w:val="28"/>
                <w:szCs w:val="28"/>
              </w:rPr>
            </w:pPr>
          </w:p>
        </w:tc>
        <w:tc>
          <w:tcPr>
            <w:tcW w:w="2283" w:type="dxa"/>
            <w:vAlign w:val="top"/>
          </w:tcPr>
          <w:p>
            <w:pPr>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076" w:type="dxa"/>
            <w:vMerge w:val="continue"/>
            <w:vAlign w:val="center"/>
          </w:tcPr>
          <w:p>
            <w:pPr>
              <w:spacing w:line="400" w:lineRule="exact"/>
              <w:jc w:val="center"/>
              <w:rPr>
                <w:rFonts w:eastAsia="仿宋"/>
                <w:b/>
                <w:bCs/>
                <w:color w:val="000000"/>
                <w:sz w:val="28"/>
                <w:szCs w:val="28"/>
              </w:rPr>
            </w:pPr>
          </w:p>
        </w:tc>
        <w:tc>
          <w:tcPr>
            <w:tcW w:w="2279" w:type="dxa"/>
            <w:vAlign w:val="top"/>
          </w:tcPr>
          <w:p>
            <w:pPr>
              <w:jc w:val="center"/>
              <w:rPr>
                <w:rFonts w:eastAsia="仿宋"/>
                <w:color w:val="000000"/>
                <w:sz w:val="28"/>
                <w:szCs w:val="28"/>
              </w:rPr>
            </w:pPr>
          </w:p>
        </w:tc>
        <w:tc>
          <w:tcPr>
            <w:tcW w:w="2217" w:type="dxa"/>
            <w:vAlign w:val="top"/>
          </w:tcPr>
          <w:p>
            <w:pPr>
              <w:jc w:val="center"/>
              <w:rPr>
                <w:rFonts w:eastAsia="仿宋"/>
                <w:color w:val="000000"/>
                <w:sz w:val="28"/>
                <w:szCs w:val="28"/>
              </w:rPr>
            </w:pPr>
          </w:p>
        </w:tc>
        <w:tc>
          <w:tcPr>
            <w:tcW w:w="2501" w:type="dxa"/>
            <w:vAlign w:val="top"/>
          </w:tcPr>
          <w:p>
            <w:pPr>
              <w:jc w:val="center"/>
              <w:rPr>
                <w:rFonts w:eastAsia="仿宋"/>
                <w:color w:val="000000"/>
                <w:sz w:val="28"/>
                <w:szCs w:val="28"/>
              </w:rPr>
            </w:pPr>
          </w:p>
        </w:tc>
        <w:tc>
          <w:tcPr>
            <w:tcW w:w="2480" w:type="dxa"/>
            <w:vAlign w:val="top"/>
          </w:tcPr>
          <w:p>
            <w:pPr>
              <w:jc w:val="center"/>
              <w:rPr>
                <w:rFonts w:eastAsia="仿宋"/>
                <w:color w:val="000000"/>
                <w:sz w:val="28"/>
                <w:szCs w:val="28"/>
              </w:rPr>
            </w:pPr>
          </w:p>
        </w:tc>
        <w:tc>
          <w:tcPr>
            <w:tcW w:w="2283" w:type="dxa"/>
            <w:vAlign w:val="top"/>
          </w:tcPr>
          <w:p>
            <w:pPr>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076" w:type="dxa"/>
            <w:vMerge w:val="restart"/>
            <w:vAlign w:val="center"/>
          </w:tcPr>
          <w:p>
            <w:pPr>
              <w:spacing w:line="400" w:lineRule="exact"/>
              <w:jc w:val="center"/>
              <w:rPr>
                <w:rFonts w:eastAsia="仿宋"/>
                <w:b/>
                <w:bCs/>
                <w:color w:val="000000"/>
                <w:sz w:val="28"/>
                <w:szCs w:val="28"/>
              </w:rPr>
            </w:pPr>
            <w:r>
              <w:rPr>
                <w:rFonts w:eastAsia="仿宋"/>
                <w:b/>
                <w:bCs/>
                <w:color w:val="000000"/>
                <w:sz w:val="28"/>
                <w:szCs w:val="28"/>
              </w:rPr>
              <w:t>橙色风险</w:t>
            </w:r>
          </w:p>
        </w:tc>
        <w:tc>
          <w:tcPr>
            <w:tcW w:w="2279" w:type="dxa"/>
            <w:vAlign w:val="top"/>
          </w:tcPr>
          <w:p>
            <w:pPr>
              <w:jc w:val="center"/>
              <w:rPr>
                <w:rFonts w:eastAsia="仿宋"/>
                <w:b/>
                <w:bCs/>
                <w:color w:val="000000"/>
                <w:sz w:val="28"/>
                <w:szCs w:val="28"/>
              </w:rPr>
            </w:pPr>
          </w:p>
        </w:tc>
        <w:tc>
          <w:tcPr>
            <w:tcW w:w="2217" w:type="dxa"/>
            <w:vAlign w:val="top"/>
          </w:tcPr>
          <w:p>
            <w:pPr>
              <w:jc w:val="center"/>
              <w:rPr>
                <w:rFonts w:eastAsia="仿宋"/>
                <w:b/>
                <w:bCs/>
                <w:color w:val="000000"/>
                <w:sz w:val="28"/>
                <w:szCs w:val="28"/>
              </w:rPr>
            </w:pPr>
          </w:p>
        </w:tc>
        <w:tc>
          <w:tcPr>
            <w:tcW w:w="2501" w:type="dxa"/>
            <w:vAlign w:val="top"/>
          </w:tcPr>
          <w:p>
            <w:pPr>
              <w:jc w:val="center"/>
              <w:rPr>
                <w:rFonts w:eastAsia="仿宋"/>
                <w:b/>
                <w:bCs/>
                <w:color w:val="000000"/>
                <w:sz w:val="28"/>
                <w:szCs w:val="28"/>
              </w:rPr>
            </w:pPr>
          </w:p>
        </w:tc>
        <w:tc>
          <w:tcPr>
            <w:tcW w:w="2480" w:type="dxa"/>
            <w:vAlign w:val="top"/>
          </w:tcPr>
          <w:p>
            <w:pPr>
              <w:jc w:val="center"/>
              <w:rPr>
                <w:rFonts w:eastAsia="仿宋"/>
                <w:b/>
                <w:bCs/>
                <w:color w:val="000000"/>
                <w:sz w:val="28"/>
                <w:szCs w:val="28"/>
              </w:rPr>
            </w:pPr>
          </w:p>
        </w:tc>
        <w:tc>
          <w:tcPr>
            <w:tcW w:w="2283" w:type="dxa"/>
            <w:vAlign w:val="top"/>
          </w:tcPr>
          <w:p>
            <w:pPr>
              <w:jc w:val="center"/>
              <w:rPr>
                <w:rFonts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2076" w:type="dxa"/>
            <w:vMerge w:val="continue"/>
            <w:vAlign w:val="center"/>
          </w:tcPr>
          <w:p>
            <w:pPr>
              <w:spacing w:line="400" w:lineRule="exact"/>
              <w:jc w:val="center"/>
              <w:rPr>
                <w:rFonts w:eastAsia="仿宋"/>
                <w:b/>
                <w:bCs/>
                <w:color w:val="000000"/>
                <w:sz w:val="28"/>
                <w:szCs w:val="28"/>
              </w:rPr>
            </w:pPr>
          </w:p>
        </w:tc>
        <w:tc>
          <w:tcPr>
            <w:tcW w:w="2279" w:type="dxa"/>
            <w:vAlign w:val="top"/>
          </w:tcPr>
          <w:p>
            <w:pPr>
              <w:jc w:val="center"/>
              <w:rPr>
                <w:rFonts w:eastAsia="仿宋"/>
                <w:b/>
                <w:bCs/>
                <w:color w:val="000000"/>
                <w:sz w:val="28"/>
                <w:szCs w:val="28"/>
              </w:rPr>
            </w:pPr>
          </w:p>
        </w:tc>
        <w:tc>
          <w:tcPr>
            <w:tcW w:w="2217" w:type="dxa"/>
            <w:vAlign w:val="top"/>
          </w:tcPr>
          <w:p>
            <w:pPr>
              <w:jc w:val="center"/>
              <w:rPr>
                <w:rFonts w:eastAsia="仿宋"/>
                <w:b/>
                <w:bCs/>
                <w:color w:val="000000"/>
                <w:sz w:val="28"/>
                <w:szCs w:val="28"/>
              </w:rPr>
            </w:pPr>
          </w:p>
        </w:tc>
        <w:tc>
          <w:tcPr>
            <w:tcW w:w="2501" w:type="dxa"/>
            <w:vAlign w:val="top"/>
          </w:tcPr>
          <w:p>
            <w:pPr>
              <w:jc w:val="center"/>
              <w:rPr>
                <w:rFonts w:eastAsia="仿宋"/>
                <w:b/>
                <w:bCs/>
                <w:color w:val="000000"/>
                <w:sz w:val="28"/>
                <w:szCs w:val="28"/>
              </w:rPr>
            </w:pPr>
          </w:p>
        </w:tc>
        <w:tc>
          <w:tcPr>
            <w:tcW w:w="2480" w:type="dxa"/>
            <w:vAlign w:val="top"/>
          </w:tcPr>
          <w:p>
            <w:pPr>
              <w:jc w:val="center"/>
              <w:rPr>
                <w:rFonts w:eastAsia="仿宋"/>
                <w:b/>
                <w:bCs/>
                <w:color w:val="000000"/>
                <w:sz w:val="28"/>
                <w:szCs w:val="28"/>
              </w:rPr>
            </w:pPr>
          </w:p>
        </w:tc>
        <w:tc>
          <w:tcPr>
            <w:tcW w:w="2283" w:type="dxa"/>
            <w:vAlign w:val="top"/>
          </w:tcPr>
          <w:p>
            <w:pPr>
              <w:jc w:val="center"/>
              <w:rPr>
                <w:rFonts w:eastAsia="仿宋"/>
                <w:b/>
                <w:bCs/>
                <w:color w:val="000000"/>
                <w:sz w:val="28"/>
                <w:szCs w:val="28"/>
              </w:rPr>
            </w:pPr>
          </w:p>
        </w:tc>
      </w:tr>
    </w:tbl>
    <w:p>
      <w:pPr>
        <w:spacing w:line="560" w:lineRule="exact"/>
        <w:ind w:firstLine="528" w:firstLineChars="200"/>
        <w:rPr>
          <w:rFonts w:eastAsia="仿宋"/>
          <w:b/>
          <w:bCs/>
          <w:color w:val="000000"/>
          <w:sz w:val="30"/>
          <w:szCs w:val="30"/>
        </w:rPr>
      </w:pPr>
      <w:r>
        <w:rPr>
          <w:rFonts w:eastAsia="黑体"/>
          <w:color w:val="000000"/>
          <w:sz w:val="28"/>
          <w:szCs w:val="28"/>
        </w:rPr>
        <w:t>填报单位：                                                               填报日期：   年   月   日</w:t>
      </w:r>
      <w:r>
        <w:rPr>
          <w:rFonts w:eastAsia="黑体"/>
          <w:color w:val="000000"/>
          <w:sz w:val="44"/>
          <w:szCs w:val="44"/>
        </w:rPr>
        <w:t xml:space="preserve"> </w:t>
      </w:r>
    </w:p>
    <w:p>
      <w:pPr>
        <w:spacing w:line="400" w:lineRule="exact"/>
        <w:jc w:val="left"/>
        <w:rPr>
          <w:rFonts w:eastAsia="仿宋_GB2312"/>
          <w:b/>
          <w:bCs/>
          <w:color w:val="000000"/>
          <w:sz w:val="28"/>
          <w:szCs w:val="28"/>
        </w:rPr>
      </w:pPr>
      <w:r>
        <w:rPr>
          <w:rFonts w:eastAsia="仿宋"/>
          <w:color w:val="000000"/>
          <w:sz w:val="30"/>
          <w:szCs w:val="30"/>
        </w:rPr>
        <w:t xml:space="preserve">  </w:t>
      </w:r>
      <w:r>
        <w:rPr>
          <w:rFonts w:eastAsia="仿宋_GB2312"/>
          <w:color w:val="000000"/>
          <w:sz w:val="28"/>
          <w:szCs w:val="28"/>
        </w:rPr>
        <w:t xml:space="preserve">  注：1.</w:t>
      </w:r>
      <w:r>
        <w:rPr>
          <w:color w:val="000000"/>
          <w:sz w:val="28"/>
          <w:szCs w:val="28"/>
        </w:rPr>
        <w:t>表1、表2</w:t>
      </w:r>
      <w:r>
        <w:rPr>
          <w:rFonts w:eastAsia="仿宋_GB2312"/>
          <w:color w:val="000000"/>
          <w:sz w:val="28"/>
          <w:szCs w:val="28"/>
        </w:rPr>
        <w:t>上报</w:t>
      </w:r>
      <w:r>
        <w:rPr>
          <w:color w:val="000000"/>
          <w:sz w:val="28"/>
          <w:szCs w:val="28"/>
        </w:rPr>
        <w:t>的</w:t>
      </w:r>
      <w:r>
        <w:rPr>
          <w:rFonts w:eastAsia="仿宋_GB2312"/>
          <w:color w:val="000000"/>
          <w:sz w:val="28"/>
          <w:szCs w:val="28"/>
        </w:rPr>
        <w:t>风险点</w:t>
      </w:r>
      <w:r>
        <w:rPr>
          <w:color w:val="000000"/>
          <w:sz w:val="28"/>
          <w:szCs w:val="28"/>
        </w:rPr>
        <w:t>、</w:t>
      </w:r>
      <w:r>
        <w:rPr>
          <w:rFonts w:eastAsia="仿宋_GB2312"/>
          <w:color w:val="000000"/>
          <w:sz w:val="28"/>
          <w:szCs w:val="28"/>
        </w:rPr>
        <w:t>危险源</w:t>
      </w:r>
      <w:r>
        <w:rPr>
          <w:color w:val="000000"/>
          <w:sz w:val="28"/>
          <w:szCs w:val="28"/>
        </w:rPr>
        <w:t>按单位、场所、部位、设备设施或活动</w:t>
      </w:r>
      <w:r>
        <w:rPr>
          <w:rFonts w:hint="eastAsia"/>
          <w:color w:val="000000"/>
          <w:sz w:val="28"/>
          <w:szCs w:val="28"/>
        </w:rPr>
        <w:t>等</w:t>
      </w:r>
      <w:r>
        <w:rPr>
          <w:rFonts w:eastAsia="仿宋_GB2312"/>
          <w:color w:val="000000"/>
          <w:sz w:val="28"/>
          <w:szCs w:val="28"/>
        </w:rPr>
        <w:t>划定。</w:t>
      </w:r>
    </w:p>
    <w:p>
      <w:pPr>
        <w:spacing w:line="400" w:lineRule="exact"/>
        <w:rPr>
          <w:rFonts w:hint="eastAsia"/>
          <w:color w:val="000000"/>
          <w:sz w:val="28"/>
          <w:szCs w:val="28"/>
        </w:rPr>
      </w:pPr>
      <w:r>
        <w:rPr>
          <w:rFonts w:eastAsia="仿宋_GB2312"/>
          <w:color w:val="000000"/>
          <w:sz w:val="28"/>
          <w:szCs w:val="28"/>
        </w:rPr>
        <w:t xml:space="preserve">        2.</w:t>
      </w:r>
      <w:r>
        <w:rPr>
          <w:color w:val="000000"/>
          <w:sz w:val="28"/>
          <w:szCs w:val="28"/>
        </w:rPr>
        <w:t>表1、表2</w:t>
      </w:r>
      <w:r>
        <w:rPr>
          <w:rFonts w:eastAsia="仿宋_GB2312"/>
          <w:color w:val="000000"/>
          <w:sz w:val="28"/>
          <w:szCs w:val="28"/>
        </w:rPr>
        <w:t>统一由各地区</w:t>
      </w:r>
      <w:r>
        <w:rPr>
          <w:rFonts w:hint="eastAsia"/>
          <w:color w:val="000000"/>
          <w:sz w:val="28"/>
          <w:szCs w:val="28"/>
        </w:rPr>
        <w:t>和中直驻粤有关单位</w:t>
      </w:r>
      <w:r>
        <w:rPr>
          <w:rFonts w:eastAsia="仿宋_GB2312"/>
          <w:color w:val="000000"/>
          <w:sz w:val="28"/>
          <w:szCs w:val="28"/>
        </w:rPr>
        <w:t>填报。对不按红橙黄蓝划分风险等级的行业</w:t>
      </w:r>
      <w:r>
        <w:rPr>
          <w:rFonts w:hint="eastAsia"/>
          <w:color w:val="000000"/>
          <w:sz w:val="28"/>
          <w:szCs w:val="28"/>
        </w:rPr>
        <w:t>领域</w:t>
      </w:r>
      <w:r>
        <w:rPr>
          <w:rFonts w:eastAsia="仿宋_GB2312"/>
          <w:color w:val="000000"/>
          <w:sz w:val="28"/>
          <w:szCs w:val="28"/>
        </w:rPr>
        <w:t>，可结合实际另行制表</w:t>
      </w:r>
      <w:r>
        <w:rPr>
          <w:color w:val="000000"/>
          <w:sz w:val="28"/>
          <w:szCs w:val="28"/>
        </w:rPr>
        <w:t>后</w:t>
      </w:r>
      <w:r>
        <w:rPr>
          <w:rFonts w:eastAsia="仿宋_GB2312"/>
          <w:color w:val="000000"/>
          <w:sz w:val="28"/>
          <w:szCs w:val="28"/>
        </w:rPr>
        <w:t>填报</w:t>
      </w:r>
      <w:r>
        <w:rPr>
          <w:rFonts w:hint="eastAsia"/>
          <w:color w:val="000000"/>
          <w:sz w:val="28"/>
          <w:szCs w:val="28"/>
        </w:rPr>
        <w:t>。</w:t>
      </w:r>
    </w:p>
    <w:p>
      <w:pPr>
        <w:spacing w:line="400" w:lineRule="exact"/>
        <w:rPr>
          <w:color w:val="000000"/>
          <w:sz w:val="28"/>
          <w:szCs w:val="28"/>
        </w:rPr>
      </w:pPr>
      <w:r>
        <w:rPr>
          <w:rFonts w:hint="eastAsia"/>
          <w:color w:val="000000"/>
          <w:sz w:val="28"/>
          <w:szCs w:val="28"/>
        </w:rPr>
        <w:t xml:space="preserve">        3.东莞、中山市表1、表2统计到镇街。</w:t>
      </w:r>
    </w:p>
    <w:p>
      <w:pPr>
        <w:spacing w:line="560" w:lineRule="exact"/>
      </w:pPr>
      <w:r>
        <w:rPr>
          <w:rFonts w:eastAsia="仿宋_GB2312"/>
          <w:color w:val="000000"/>
          <w:sz w:val="28"/>
          <w:szCs w:val="28"/>
        </w:rPr>
        <w:t xml:space="preserve">   </w:t>
      </w:r>
      <w:r>
        <w:rPr>
          <w:rFonts w:hint="eastAsia"/>
          <w:color w:val="000000"/>
          <w:sz w:val="28"/>
          <w:szCs w:val="28"/>
        </w:rPr>
        <w:t xml:space="preserve">     4</w:t>
      </w:r>
      <w:r>
        <w:rPr>
          <w:rFonts w:eastAsia="仿宋_GB2312"/>
          <w:color w:val="000000"/>
          <w:sz w:val="28"/>
          <w:szCs w:val="28"/>
        </w:rPr>
        <w:t>.只填报当月情况，不填报累计情况。</w:t>
      </w:r>
      <w:r>
        <w:rPr>
          <w:rFonts w:eastAsia="黑体"/>
          <w:color w:val="000000"/>
          <w:sz w:val="44"/>
          <w:szCs w:val="44"/>
        </w:rPr>
        <w:t xml:space="preserve"> </w:t>
      </w:r>
      <w:r>
        <w:rPr>
          <w:color w:val="000000"/>
          <w:szCs w:val="32"/>
        </w:rPr>
        <w:t xml:space="preserve"> </w:t>
      </w:r>
    </w:p>
    <w:p>
      <w:pPr>
        <w:pStyle w:val="4"/>
        <w:keepNext w:val="0"/>
        <w:keepLines w:val="0"/>
        <w:widowControl/>
        <w:suppressLineNumbers w:val="0"/>
        <w:spacing w:line="432" w:lineRule="auto"/>
        <w:jc w:val="left"/>
        <w:rPr>
          <w:sz w:val="28"/>
          <w:szCs w:val="28"/>
        </w:rPr>
      </w:pPr>
      <w:bookmarkStart w:id="0" w:name="_GoBack"/>
      <w:bookmarkEnd w:id="0"/>
    </w:p>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22AE6"/>
    <w:rsid w:val="29722AE6"/>
    <w:rsid w:val="66FF55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2016-12-16T07:20:00Z</dcterms:created>
  <dc:creator>左春生</dc:creator>
  <cp:lastModifiedBy>左春生</cp:lastModifiedBy>
  <cp:lastPrinted>2016-12-16T07:22:25Z</cp:lastPrinted>
  <dcterms:modified xsi:type="dcterms:W3CDTF">2016-12-16T07:24:30Z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