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F29" w:rsidRPr="00742F29" w:rsidRDefault="00742F29" w:rsidP="00742F29">
      <w:pPr>
        <w:pStyle w:val="2"/>
        <w:spacing w:beforeLines="50" w:before="156" w:afterLines="50" w:after="156"/>
        <w:rPr>
          <w:rFonts w:ascii="黑体" w:eastAsia="黑体" w:hAnsi="黑体" w:cs="黑体"/>
          <w:color w:val="auto"/>
          <w:sz w:val="30"/>
          <w:szCs w:val="30"/>
        </w:rPr>
      </w:pPr>
      <w:bookmarkStart w:id="0" w:name="_Toc20465"/>
      <w:bookmarkStart w:id="1" w:name="_Toc22489"/>
      <w:bookmarkStart w:id="2" w:name="_Toc30460"/>
      <w:r w:rsidRPr="00742F29">
        <w:rPr>
          <w:rFonts w:ascii="黑体" w:eastAsia="黑体" w:hAnsi="黑体" w:cs="黑体" w:hint="eastAsia"/>
          <w:sz w:val="30"/>
          <w:szCs w:val="30"/>
        </w:rPr>
        <w:t>5.1</w:t>
      </w:r>
      <w:bookmarkEnd w:id="0"/>
      <w:bookmarkEnd w:id="1"/>
      <w:bookmarkEnd w:id="2"/>
      <w:r w:rsidRPr="00742F29">
        <w:rPr>
          <w:rFonts w:ascii="黑体" w:eastAsia="黑体" w:hAnsi="黑体" w:cs="黑体" w:hint="eastAsia"/>
          <w:sz w:val="30"/>
          <w:szCs w:val="30"/>
        </w:rPr>
        <w:t>项目前置程序合规性</w:t>
      </w:r>
    </w:p>
    <w:p w:rsidR="00742F29" w:rsidRPr="00742F29" w:rsidRDefault="00742F29" w:rsidP="00742F29">
      <w:pPr>
        <w:ind w:firstLine="562"/>
        <w:outlineLvl w:val="2"/>
        <w:rPr>
          <w:rFonts w:asciiTheme="majorEastAsia" w:eastAsiaTheme="majorEastAsia" w:hAnsiTheme="majorEastAsia"/>
          <w:b/>
          <w:szCs w:val="28"/>
        </w:rPr>
      </w:pPr>
      <w:r w:rsidRPr="00742F29">
        <w:rPr>
          <w:rFonts w:asciiTheme="majorEastAsia" w:eastAsiaTheme="majorEastAsia" w:hAnsiTheme="majorEastAsia"/>
          <w:b/>
          <w:szCs w:val="28"/>
        </w:rPr>
        <w:t>5.</w:t>
      </w:r>
      <w:r w:rsidRPr="00742F29">
        <w:rPr>
          <w:rFonts w:asciiTheme="majorEastAsia" w:eastAsiaTheme="majorEastAsia" w:hAnsiTheme="majorEastAsia" w:hint="eastAsia"/>
          <w:b/>
          <w:szCs w:val="28"/>
        </w:rPr>
        <w:t>1</w:t>
      </w:r>
      <w:r w:rsidRPr="00742F29">
        <w:rPr>
          <w:rFonts w:asciiTheme="majorEastAsia" w:eastAsiaTheme="majorEastAsia" w:hAnsiTheme="majorEastAsia"/>
          <w:b/>
          <w:szCs w:val="28"/>
        </w:rPr>
        <w:t>.</w:t>
      </w:r>
      <w:r w:rsidRPr="00742F29">
        <w:rPr>
          <w:rFonts w:asciiTheme="majorEastAsia" w:eastAsiaTheme="majorEastAsia" w:hAnsiTheme="majorEastAsia" w:hint="eastAsia"/>
          <w:b/>
          <w:szCs w:val="28"/>
        </w:rPr>
        <w:t>1安全检查表法评价</w:t>
      </w:r>
    </w:p>
    <w:p w:rsidR="00742F29" w:rsidRDefault="00742F29" w:rsidP="00742F29">
      <w:pPr>
        <w:ind w:firstLine="480"/>
        <w:rPr>
          <w:sz w:val="24"/>
        </w:rPr>
      </w:pPr>
      <w:r>
        <w:rPr>
          <w:rFonts w:hint="eastAsia"/>
          <w:sz w:val="24"/>
        </w:rPr>
        <w:t>根据</w:t>
      </w:r>
      <w:r w:rsidR="00D4717B" w:rsidRPr="00D4717B">
        <w:rPr>
          <w:rFonts w:hint="eastAsia"/>
          <w:sz w:val="24"/>
        </w:rPr>
        <w:t>《建设项目安全设施“三同时”监督管理办法》（</w:t>
      </w:r>
      <w:r w:rsidR="00D4717B" w:rsidRPr="00D4717B">
        <w:rPr>
          <w:rFonts w:hint="eastAsia"/>
          <w:sz w:val="24"/>
        </w:rPr>
        <w:t>2015</w:t>
      </w:r>
      <w:r w:rsidR="00D4717B" w:rsidRPr="00D4717B">
        <w:rPr>
          <w:rFonts w:hint="eastAsia"/>
          <w:sz w:val="24"/>
        </w:rPr>
        <w:t>年</w:t>
      </w:r>
      <w:r w:rsidR="00D4717B" w:rsidRPr="00D4717B">
        <w:rPr>
          <w:rFonts w:hint="eastAsia"/>
          <w:sz w:val="24"/>
        </w:rPr>
        <w:t>77</w:t>
      </w:r>
      <w:r w:rsidR="00D4717B" w:rsidRPr="00D4717B">
        <w:rPr>
          <w:rFonts w:hint="eastAsia"/>
          <w:sz w:val="24"/>
        </w:rPr>
        <w:t>号令修正）</w:t>
      </w:r>
      <w:r>
        <w:rPr>
          <w:sz w:val="24"/>
        </w:rPr>
        <w:t>编制安全检查表，</w:t>
      </w:r>
      <w:r>
        <w:rPr>
          <w:rFonts w:hint="eastAsia"/>
          <w:sz w:val="24"/>
        </w:rPr>
        <w:t>对该项目法律法规符合性进行评价。</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
        <w:gridCol w:w="3039"/>
        <w:gridCol w:w="1529"/>
        <w:gridCol w:w="2127"/>
        <w:gridCol w:w="808"/>
      </w:tblGrid>
      <w:tr w:rsidR="00742F29" w:rsidTr="00D4717B">
        <w:trPr>
          <w:tblHeader/>
          <w:jc w:val="center"/>
        </w:trPr>
        <w:tc>
          <w:tcPr>
            <w:tcW w:w="5000" w:type="pct"/>
            <w:gridSpan w:val="5"/>
            <w:vAlign w:val="center"/>
          </w:tcPr>
          <w:p w:rsidR="00742F29" w:rsidRDefault="00742F29" w:rsidP="00742F29">
            <w:pPr>
              <w:spacing w:line="240" w:lineRule="auto"/>
              <w:ind w:firstLine="422"/>
              <w:jc w:val="center"/>
              <w:rPr>
                <w:b/>
                <w:bCs/>
                <w:sz w:val="21"/>
                <w:szCs w:val="21"/>
              </w:rPr>
            </w:pPr>
            <w:r>
              <w:rPr>
                <w:rFonts w:hint="eastAsia"/>
                <w:b/>
                <w:bCs/>
                <w:sz w:val="21"/>
                <w:szCs w:val="21"/>
              </w:rPr>
              <w:t>表</w:t>
            </w:r>
            <w:r>
              <w:rPr>
                <w:rFonts w:hint="eastAsia"/>
                <w:b/>
                <w:bCs/>
                <w:sz w:val="21"/>
                <w:szCs w:val="21"/>
              </w:rPr>
              <w:t xml:space="preserve">5.1 </w:t>
            </w:r>
            <w:r>
              <w:rPr>
                <w:rFonts w:hint="eastAsia"/>
                <w:b/>
                <w:bCs/>
                <w:sz w:val="21"/>
                <w:szCs w:val="21"/>
              </w:rPr>
              <w:t>法律法规符合性检查表</w:t>
            </w:r>
          </w:p>
        </w:tc>
      </w:tr>
      <w:tr w:rsidR="00742F29" w:rsidTr="00D4717B">
        <w:trPr>
          <w:tblHeader/>
          <w:jc w:val="center"/>
        </w:trPr>
        <w:tc>
          <w:tcPr>
            <w:tcW w:w="598" w:type="pct"/>
            <w:vAlign w:val="center"/>
          </w:tcPr>
          <w:p w:rsidR="00742F29" w:rsidRDefault="00742F29" w:rsidP="00742F29">
            <w:pPr>
              <w:spacing w:line="240" w:lineRule="auto"/>
              <w:ind w:firstLineChars="0" w:firstLine="0"/>
              <w:jc w:val="center"/>
              <w:rPr>
                <w:b/>
                <w:bCs/>
                <w:sz w:val="21"/>
                <w:szCs w:val="21"/>
              </w:rPr>
            </w:pPr>
            <w:r>
              <w:rPr>
                <w:b/>
                <w:bCs/>
                <w:sz w:val="21"/>
                <w:szCs w:val="21"/>
              </w:rPr>
              <w:t>检查项目</w:t>
            </w:r>
          </w:p>
        </w:tc>
        <w:tc>
          <w:tcPr>
            <w:tcW w:w="1783" w:type="pct"/>
            <w:vAlign w:val="center"/>
          </w:tcPr>
          <w:p w:rsidR="00742F29" w:rsidRDefault="00742F29" w:rsidP="00742F29">
            <w:pPr>
              <w:spacing w:line="240" w:lineRule="auto"/>
              <w:ind w:firstLineChars="0" w:firstLine="0"/>
              <w:jc w:val="center"/>
              <w:rPr>
                <w:b/>
                <w:bCs/>
                <w:sz w:val="21"/>
                <w:szCs w:val="21"/>
              </w:rPr>
            </w:pPr>
            <w:r>
              <w:rPr>
                <w:b/>
                <w:bCs/>
                <w:sz w:val="21"/>
                <w:szCs w:val="21"/>
              </w:rPr>
              <w:t>检查内容</w:t>
            </w:r>
          </w:p>
        </w:tc>
        <w:tc>
          <w:tcPr>
            <w:tcW w:w="897" w:type="pct"/>
            <w:vAlign w:val="center"/>
          </w:tcPr>
          <w:p w:rsidR="00742F29" w:rsidRDefault="00742F29" w:rsidP="00742F29">
            <w:pPr>
              <w:spacing w:line="240" w:lineRule="auto"/>
              <w:ind w:firstLineChars="0" w:firstLine="0"/>
              <w:jc w:val="center"/>
              <w:rPr>
                <w:b/>
                <w:bCs/>
                <w:sz w:val="21"/>
                <w:szCs w:val="21"/>
              </w:rPr>
            </w:pPr>
            <w:r>
              <w:rPr>
                <w:b/>
                <w:bCs/>
                <w:sz w:val="21"/>
                <w:szCs w:val="21"/>
              </w:rPr>
              <w:t>检查依据</w:t>
            </w:r>
          </w:p>
        </w:tc>
        <w:tc>
          <w:tcPr>
            <w:tcW w:w="1248" w:type="pct"/>
            <w:vAlign w:val="center"/>
          </w:tcPr>
          <w:p w:rsidR="00742F29" w:rsidRDefault="00742F29" w:rsidP="00742F29">
            <w:pPr>
              <w:spacing w:line="240" w:lineRule="auto"/>
              <w:ind w:firstLineChars="0" w:firstLine="0"/>
              <w:jc w:val="center"/>
              <w:rPr>
                <w:b/>
                <w:bCs/>
                <w:sz w:val="21"/>
                <w:szCs w:val="21"/>
              </w:rPr>
            </w:pPr>
            <w:r>
              <w:rPr>
                <w:rFonts w:hint="eastAsia"/>
                <w:b/>
                <w:bCs/>
                <w:sz w:val="21"/>
                <w:szCs w:val="21"/>
              </w:rPr>
              <w:t>实际情况</w:t>
            </w:r>
          </w:p>
        </w:tc>
        <w:tc>
          <w:tcPr>
            <w:tcW w:w="475" w:type="pct"/>
            <w:vAlign w:val="center"/>
          </w:tcPr>
          <w:p w:rsidR="00742F29" w:rsidRDefault="00742F29" w:rsidP="00742F29">
            <w:pPr>
              <w:spacing w:line="240" w:lineRule="auto"/>
              <w:ind w:firstLineChars="0" w:firstLine="0"/>
              <w:jc w:val="center"/>
              <w:rPr>
                <w:b/>
                <w:bCs/>
                <w:sz w:val="21"/>
                <w:szCs w:val="21"/>
              </w:rPr>
            </w:pPr>
            <w:r>
              <w:rPr>
                <w:rFonts w:hint="eastAsia"/>
                <w:b/>
                <w:bCs/>
                <w:sz w:val="21"/>
                <w:szCs w:val="21"/>
              </w:rPr>
              <w:t>结论</w:t>
            </w:r>
          </w:p>
        </w:tc>
      </w:tr>
      <w:tr w:rsidR="00742F29" w:rsidTr="00D4717B">
        <w:trPr>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1.</w:t>
            </w:r>
            <w:r>
              <w:rPr>
                <w:rFonts w:hint="eastAsia"/>
                <w:sz w:val="21"/>
                <w:szCs w:val="21"/>
              </w:rPr>
              <w:t>安全</w:t>
            </w:r>
            <w:proofErr w:type="gramStart"/>
            <w:r>
              <w:rPr>
                <w:rFonts w:hint="eastAsia"/>
                <w:sz w:val="21"/>
                <w:szCs w:val="21"/>
              </w:rPr>
              <w:t>预评价</w:t>
            </w:r>
            <w:proofErr w:type="gramEnd"/>
          </w:p>
        </w:tc>
        <w:tc>
          <w:tcPr>
            <w:tcW w:w="1783" w:type="pct"/>
            <w:vAlign w:val="center"/>
          </w:tcPr>
          <w:p w:rsidR="00D4717B" w:rsidRPr="00D4717B" w:rsidRDefault="00D4717B" w:rsidP="00D4717B">
            <w:pPr>
              <w:pStyle w:val="a9"/>
              <w:spacing w:line="240" w:lineRule="auto"/>
              <w:ind w:firstLineChars="0" w:firstLine="0"/>
              <w:rPr>
                <w:rFonts w:hint="eastAsia"/>
                <w:sz w:val="21"/>
                <w:szCs w:val="21"/>
              </w:rPr>
            </w:pPr>
            <w:r w:rsidRPr="00D4717B">
              <w:rPr>
                <w:rFonts w:hint="eastAsia"/>
                <w:sz w:val="21"/>
                <w:szCs w:val="21"/>
              </w:rPr>
              <w:t>生产经营单位应当委托具有相应资质的安全评价机构，对其建设项目进行安全预评价，并编制安全预评价报告。</w:t>
            </w:r>
          </w:p>
          <w:p w:rsidR="00D4717B" w:rsidRPr="00D4717B" w:rsidRDefault="00D4717B" w:rsidP="00D4717B">
            <w:pPr>
              <w:pStyle w:val="a9"/>
              <w:spacing w:line="240" w:lineRule="auto"/>
              <w:ind w:firstLineChars="0" w:firstLine="0"/>
              <w:rPr>
                <w:rFonts w:hint="eastAsia"/>
                <w:sz w:val="21"/>
                <w:szCs w:val="21"/>
              </w:rPr>
            </w:pPr>
            <w:r w:rsidRPr="00D4717B">
              <w:rPr>
                <w:rFonts w:hint="eastAsia"/>
                <w:sz w:val="21"/>
                <w:szCs w:val="21"/>
              </w:rPr>
              <w:t>建设项目安全预评价报告应当符合国家标准或者行业标准的规定。</w:t>
            </w:r>
          </w:p>
          <w:p w:rsidR="00742F29" w:rsidRDefault="00D4717B" w:rsidP="00D4717B">
            <w:pPr>
              <w:pStyle w:val="a9"/>
              <w:spacing w:line="240" w:lineRule="auto"/>
              <w:ind w:firstLineChars="0" w:firstLine="0"/>
              <w:rPr>
                <w:sz w:val="21"/>
                <w:szCs w:val="21"/>
              </w:rPr>
            </w:pPr>
            <w:r w:rsidRPr="00D4717B">
              <w:rPr>
                <w:rFonts w:hint="eastAsia"/>
                <w:sz w:val="21"/>
                <w:szCs w:val="21"/>
              </w:rPr>
              <w:t>生产、储存危险化学品的建设项目和化工建设项目安全预评价报告除符合本条第二款的规定外，还应当符合有关危险化学品建设项目的规定。</w:t>
            </w:r>
          </w:p>
        </w:tc>
        <w:tc>
          <w:tcPr>
            <w:tcW w:w="897" w:type="pct"/>
            <w:vAlign w:val="center"/>
          </w:tcPr>
          <w:p w:rsidR="00742F29" w:rsidRPr="00D4717B" w:rsidRDefault="00D4717B" w:rsidP="00742F29">
            <w:pPr>
              <w:pStyle w:val="a9"/>
              <w:spacing w:line="240" w:lineRule="auto"/>
              <w:ind w:firstLineChars="0" w:firstLine="0"/>
              <w:rPr>
                <w:sz w:val="21"/>
                <w:szCs w:val="21"/>
              </w:rPr>
            </w:pPr>
            <w:r w:rsidRPr="00D4717B">
              <w:rPr>
                <w:rFonts w:hint="eastAsia"/>
                <w:sz w:val="21"/>
                <w:szCs w:val="21"/>
              </w:rPr>
              <w:t>《建设项目安全设施“三同时”监督管理办法》（</w:t>
            </w:r>
            <w:r w:rsidRPr="00D4717B">
              <w:rPr>
                <w:rFonts w:hint="eastAsia"/>
                <w:sz w:val="21"/>
                <w:szCs w:val="21"/>
              </w:rPr>
              <w:t>2015</w:t>
            </w:r>
            <w:r w:rsidRPr="00D4717B">
              <w:rPr>
                <w:rFonts w:hint="eastAsia"/>
                <w:sz w:val="21"/>
                <w:szCs w:val="21"/>
              </w:rPr>
              <w:t>年</w:t>
            </w:r>
            <w:r w:rsidRPr="00D4717B">
              <w:rPr>
                <w:rFonts w:hint="eastAsia"/>
                <w:sz w:val="21"/>
                <w:szCs w:val="21"/>
              </w:rPr>
              <w:t>77</w:t>
            </w:r>
            <w:r w:rsidRPr="00D4717B">
              <w:rPr>
                <w:rFonts w:hint="eastAsia"/>
                <w:sz w:val="21"/>
                <w:szCs w:val="21"/>
              </w:rPr>
              <w:t>号令修正）第</w:t>
            </w:r>
            <w:r w:rsidRPr="00D4717B">
              <w:rPr>
                <w:rFonts w:hint="eastAsia"/>
                <w:sz w:val="21"/>
                <w:szCs w:val="21"/>
              </w:rPr>
              <w:t>7.8.9</w:t>
            </w:r>
            <w:r w:rsidRPr="00D4717B">
              <w:rPr>
                <w:rFonts w:hint="eastAsia"/>
                <w:sz w:val="21"/>
                <w:szCs w:val="21"/>
              </w:rPr>
              <w:t>条</w:t>
            </w:r>
          </w:p>
        </w:tc>
        <w:tc>
          <w:tcPr>
            <w:tcW w:w="1248" w:type="pct"/>
            <w:vAlign w:val="center"/>
          </w:tcPr>
          <w:p w:rsidR="00742F29" w:rsidRDefault="00742F29" w:rsidP="00742F29">
            <w:pPr>
              <w:spacing w:line="240" w:lineRule="auto"/>
              <w:ind w:firstLineChars="0" w:firstLine="0"/>
              <w:rPr>
                <w:sz w:val="21"/>
                <w:szCs w:val="21"/>
              </w:rPr>
            </w:pP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D4717B">
        <w:trPr>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2.</w:t>
            </w:r>
            <w:r>
              <w:rPr>
                <w:rFonts w:hint="eastAsia"/>
                <w:sz w:val="21"/>
                <w:szCs w:val="21"/>
              </w:rPr>
              <w:t>安全设施设计</w:t>
            </w:r>
          </w:p>
        </w:tc>
        <w:tc>
          <w:tcPr>
            <w:tcW w:w="1783" w:type="pct"/>
            <w:vAlign w:val="center"/>
          </w:tcPr>
          <w:p w:rsidR="00D4717B" w:rsidRPr="00D4717B" w:rsidRDefault="00D4717B" w:rsidP="00D4717B">
            <w:pPr>
              <w:pStyle w:val="a9"/>
              <w:spacing w:line="240" w:lineRule="auto"/>
              <w:ind w:firstLineChars="0" w:firstLine="0"/>
              <w:rPr>
                <w:sz w:val="21"/>
                <w:szCs w:val="21"/>
              </w:rPr>
            </w:pPr>
            <w:r w:rsidRPr="00D4717B">
              <w:rPr>
                <w:rFonts w:hint="eastAsia"/>
                <w:sz w:val="21"/>
                <w:szCs w:val="21"/>
              </w:rPr>
              <w:t>生产经营单位在建设项目初步设计时，应当委托有相应资质的设计单位对建设项目安全设施同时进行设计，编制安全设施设计。</w:t>
            </w:r>
          </w:p>
          <w:p w:rsidR="00742F29" w:rsidRPr="00D4717B" w:rsidRDefault="00D4717B" w:rsidP="00D4717B">
            <w:pPr>
              <w:pStyle w:val="a9"/>
              <w:spacing w:line="240" w:lineRule="auto"/>
              <w:ind w:firstLineChars="0" w:firstLine="0"/>
              <w:rPr>
                <w:sz w:val="21"/>
                <w:szCs w:val="21"/>
              </w:rPr>
            </w:pPr>
            <w:r w:rsidRPr="00D4717B">
              <w:rPr>
                <w:rFonts w:hint="eastAsia"/>
                <w:sz w:val="21"/>
                <w:szCs w:val="21"/>
              </w:rPr>
              <w:t>安全设施设计必须符合有关法律、法规、规章和国家标准或者行业标准、技术规范的规定，并尽可能采用先进适用的工艺、技术和可靠的设备、设施。本办法第七条规定的建设项目安全设施设计还应当充分考虑建设项目安全预评价报告提出的安全对策措施。</w:t>
            </w:r>
          </w:p>
        </w:tc>
        <w:tc>
          <w:tcPr>
            <w:tcW w:w="897" w:type="pct"/>
            <w:vAlign w:val="center"/>
          </w:tcPr>
          <w:p w:rsidR="00742F29" w:rsidRDefault="00D4717B" w:rsidP="00742F29">
            <w:pPr>
              <w:pStyle w:val="a9"/>
              <w:spacing w:line="240" w:lineRule="auto"/>
              <w:ind w:firstLineChars="0" w:firstLine="0"/>
              <w:rPr>
                <w:sz w:val="21"/>
                <w:szCs w:val="21"/>
              </w:rPr>
            </w:pPr>
            <w:r w:rsidRPr="00D4717B">
              <w:rPr>
                <w:rFonts w:hint="eastAsia"/>
                <w:sz w:val="21"/>
                <w:szCs w:val="21"/>
              </w:rPr>
              <w:t>《建设项目安全设施“三同时”监督管理办法》（</w:t>
            </w:r>
            <w:r w:rsidRPr="00D4717B">
              <w:rPr>
                <w:rFonts w:hint="eastAsia"/>
                <w:sz w:val="21"/>
                <w:szCs w:val="21"/>
              </w:rPr>
              <w:t>2015</w:t>
            </w:r>
            <w:r w:rsidRPr="00D4717B">
              <w:rPr>
                <w:rFonts w:hint="eastAsia"/>
                <w:sz w:val="21"/>
                <w:szCs w:val="21"/>
              </w:rPr>
              <w:t>年</w:t>
            </w:r>
            <w:r w:rsidRPr="00D4717B">
              <w:rPr>
                <w:rFonts w:hint="eastAsia"/>
                <w:sz w:val="21"/>
                <w:szCs w:val="21"/>
              </w:rPr>
              <w:t>77</w:t>
            </w:r>
            <w:r w:rsidRPr="00D4717B">
              <w:rPr>
                <w:rFonts w:hint="eastAsia"/>
                <w:sz w:val="21"/>
                <w:szCs w:val="21"/>
              </w:rPr>
              <w:t>号令修正）第</w:t>
            </w:r>
            <w:r w:rsidRPr="00D4717B">
              <w:rPr>
                <w:rFonts w:hint="eastAsia"/>
                <w:sz w:val="21"/>
                <w:szCs w:val="21"/>
              </w:rPr>
              <w:t>10</w:t>
            </w:r>
            <w:r w:rsidRPr="00D4717B">
              <w:rPr>
                <w:rFonts w:hint="eastAsia"/>
                <w:sz w:val="21"/>
                <w:szCs w:val="21"/>
              </w:rPr>
              <w:t>条</w:t>
            </w:r>
          </w:p>
        </w:tc>
        <w:tc>
          <w:tcPr>
            <w:tcW w:w="1248" w:type="pct"/>
            <w:vAlign w:val="center"/>
          </w:tcPr>
          <w:p w:rsidR="00742F29" w:rsidRDefault="00742F29" w:rsidP="00742F29">
            <w:pPr>
              <w:spacing w:line="240" w:lineRule="auto"/>
              <w:ind w:firstLineChars="0" w:firstLine="0"/>
              <w:rPr>
                <w:sz w:val="21"/>
                <w:szCs w:val="21"/>
              </w:rPr>
            </w:pPr>
          </w:p>
        </w:tc>
        <w:tc>
          <w:tcPr>
            <w:tcW w:w="475" w:type="pct"/>
            <w:vAlign w:val="center"/>
          </w:tcPr>
          <w:p w:rsidR="00742F29" w:rsidRDefault="00742F29" w:rsidP="00742F29">
            <w:pPr>
              <w:pStyle w:val="a9"/>
              <w:spacing w:line="240" w:lineRule="auto"/>
              <w:ind w:firstLineChars="0" w:firstLine="0"/>
              <w:jc w:val="center"/>
              <w:rPr>
                <w:sz w:val="21"/>
                <w:szCs w:val="21"/>
              </w:rPr>
            </w:pPr>
            <w:r>
              <w:rPr>
                <w:rFonts w:hint="eastAsia"/>
                <w:sz w:val="21"/>
                <w:szCs w:val="21"/>
              </w:rPr>
              <w:t>符合</w:t>
            </w:r>
          </w:p>
        </w:tc>
      </w:tr>
      <w:tr w:rsidR="00742F29" w:rsidTr="00D4717B">
        <w:trPr>
          <w:trHeight w:val="490"/>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3.</w:t>
            </w:r>
            <w:r w:rsidR="00D4717B">
              <w:rPr>
                <w:rFonts w:hint="eastAsia"/>
                <w:sz w:val="21"/>
                <w:szCs w:val="21"/>
              </w:rPr>
              <w:t>施工</w:t>
            </w:r>
          </w:p>
        </w:tc>
        <w:tc>
          <w:tcPr>
            <w:tcW w:w="1783" w:type="pct"/>
            <w:vAlign w:val="center"/>
          </w:tcPr>
          <w:p w:rsidR="00D4717B" w:rsidRPr="00D4717B" w:rsidRDefault="00D4717B" w:rsidP="00D4717B">
            <w:pPr>
              <w:pStyle w:val="a9"/>
              <w:spacing w:line="240" w:lineRule="auto"/>
              <w:ind w:firstLineChars="0" w:firstLine="0"/>
              <w:rPr>
                <w:rFonts w:hint="eastAsia"/>
                <w:sz w:val="21"/>
                <w:szCs w:val="21"/>
              </w:rPr>
            </w:pPr>
            <w:r w:rsidRPr="00D4717B">
              <w:rPr>
                <w:rFonts w:hint="eastAsia"/>
                <w:sz w:val="21"/>
                <w:szCs w:val="21"/>
              </w:rPr>
              <w:t>建设项目安全设施的施工应当由取得相应资质的施工单位进行，并与建设项目主体工程同时施工。</w:t>
            </w:r>
          </w:p>
          <w:p w:rsidR="00D4717B" w:rsidRPr="00D4717B" w:rsidRDefault="00D4717B" w:rsidP="00D4717B">
            <w:pPr>
              <w:pStyle w:val="a9"/>
              <w:spacing w:line="240" w:lineRule="auto"/>
              <w:ind w:firstLineChars="0" w:firstLine="0"/>
              <w:rPr>
                <w:rFonts w:hint="eastAsia"/>
                <w:sz w:val="21"/>
                <w:szCs w:val="21"/>
              </w:rPr>
            </w:pPr>
            <w:r w:rsidRPr="00D4717B">
              <w:rPr>
                <w:rFonts w:hint="eastAsia"/>
                <w:sz w:val="21"/>
                <w:szCs w:val="21"/>
              </w:rPr>
              <w:t>施工单位应当在施工组织设计中编制安全技术措施和施工现场临时用电方案，同时对危险</w:t>
            </w:r>
            <w:r w:rsidRPr="00D4717B">
              <w:rPr>
                <w:rFonts w:hint="eastAsia"/>
                <w:sz w:val="21"/>
                <w:szCs w:val="21"/>
              </w:rPr>
              <w:lastRenderedPageBreak/>
              <w:t>性较大的分部分项工程依法编制专项施工方案，并附具安全验算结果，经施工单位技术负责人、总监理工程师签字后实施。</w:t>
            </w:r>
          </w:p>
          <w:p w:rsidR="00742F29" w:rsidRPr="00D4717B" w:rsidRDefault="00D4717B" w:rsidP="00D4717B">
            <w:pPr>
              <w:pStyle w:val="a9"/>
              <w:spacing w:line="240" w:lineRule="auto"/>
              <w:ind w:firstLineChars="0" w:firstLine="0"/>
              <w:rPr>
                <w:sz w:val="21"/>
                <w:szCs w:val="21"/>
              </w:rPr>
            </w:pPr>
            <w:r w:rsidRPr="00D4717B">
              <w:rPr>
                <w:rFonts w:hint="eastAsia"/>
                <w:sz w:val="21"/>
                <w:szCs w:val="21"/>
              </w:rPr>
              <w:t>施工单位应当严格按照安全设施设计和相关施工技术标准、规范施工，并对安全设施的工程质量负责。</w:t>
            </w:r>
          </w:p>
        </w:tc>
        <w:tc>
          <w:tcPr>
            <w:tcW w:w="897" w:type="pct"/>
            <w:vAlign w:val="center"/>
          </w:tcPr>
          <w:p w:rsidR="00742F29" w:rsidRDefault="00D4717B" w:rsidP="00742F29">
            <w:pPr>
              <w:pStyle w:val="a9"/>
              <w:spacing w:line="240" w:lineRule="auto"/>
              <w:ind w:firstLineChars="0" w:firstLine="0"/>
              <w:rPr>
                <w:sz w:val="21"/>
                <w:szCs w:val="21"/>
              </w:rPr>
            </w:pPr>
            <w:r w:rsidRPr="00D4717B">
              <w:rPr>
                <w:rFonts w:hint="eastAsia"/>
                <w:sz w:val="21"/>
                <w:szCs w:val="21"/>
              </w:rPr>
              <w:lastRenderedPageBreak/>
              <w:t>《建设项目安全设施“三同时”监督管理办法》（</w:t>
            </w:r>
            <w:r w:rsidRPr="00D4717B">
              <w:rPr>
                <w:rFonts w:hint="eastAsia"/>
                <w:sz w:val="21"/>
                <w:szCs w:val="21"/>
              </w:rPr>
              <w:t>2015</w:t>
            </w:r>
            <w:r w:rsidRPr="00D4717B">
              <w:rPr>
                <w:rFonts w:hint="eastAsia"/>
                <w:sz w:val="21"/>
                <w:szCs w:val="21"/>
              </w:rPr>
              <w:t>年</w:t>
            </w:r>
            <w:r w:rsidRPr="00D4717B">
              <w:rPr>
                <w:rFonts w:hint="eastAsia"/>
                <w:sz w:val="21"/>
                <w:szCs w:val="21"/>
              </w:rPr>
              <w:t>77</w:t>
            </w:r>
            <w:r w:rsidRPr="00D4717B">
              <w:rPr>
                <w:rFonts w:hint="eastAsia"/>
                <w:sz w:val="21"/>
                <w:szCs w:val="21"/>
              </w:rPr>
              <w:t>号令修正）第</w:t>
            </w:r>
            <w:r w:rsidRPr="00D4717B">
              <w:rPr>
                <w:rFonts w:hint="eastAsia"/>
                <w:sz w:val="21"/>
                <w:szCs w:val="21"/>
              </w:rPr>
              <w:t>17</w:t>
            </w:r>
            <w:r w:rsidRPr="00D4717B">
              <w:rPr>
                <w:rFonts w:hint="eastAsia"/>
                <w:sz w:val="21"/>
                <w:szCs w:val="21"/>
              </w:rPr>
              <w:t>条</w:t>
            </w:r>
          </w:p>
        </w:tc>
        <w:tc>
          <w:tcPr>
            <w:tcW w:w="1248" w:type="pct"/>
            <w:vAlign w:val="center"/>
          </w:tcPr>
          <w:p w:rsidR="00742F29" w:rsidRDefault="00742F29" w:rsidP="00742F29">
            <w:pPr>
              <w:pStyle w:val="a9"/>
              <w:spacing w:line="240" w:lineRule="auto"/>
              <w:ind w:firstLineChars="0" w:firstLine="0"/>
              <w:rPr>
                <w:sz w:val="21"/>
                <w:szCs w:val="21"/>
              </w:rPr>
            </w:pPr>
          </w:p>
        </w:tc>
        <w:tc>
          <w:tcPr>
            <w:tcW w:w="475" w:type="pct"/>
            <w:vAlign w:val="center"/>
          </w:tcPr>
          <w:p w:rsidR="00742F29" w:rsidRDefault="00742F29" w:rsidP="00742F29">
            <w:pPr>
              <w:pStyle w:val="a9"/>
              <w:spacing w:line="240" w:lineRule="auto"/>
              <w:ind w:firstLineChars="0" w:firstLine="0"/>
              <w:jc w:val="center"/>
              <w:rPr>
                <w:sz w:val="21"/>
                <w:szCs w:val="21"/>
              </w:rPr>
            </w:pPr>
          </w:p>
        </w:tc>
      </w:tr>
      <w:tr w:rsidR="00742F29" w:rsidTr="00D4717B">
        <w:trPr>
          <w:jc w:val="center"/>
        </w:trPr>
        <w:tc>
          <w:tcPr>
            <w:tcW w:w="598" w:type="pct"/>
            <w:vAlign w:val="center"/>
          </w:tcPr>
          <w:p w:rsidR="00742F29" w:rsidRDefault="00742F29" w:rsidP="00742F29">
            <w:pPr>
              <w:pStyle w:val="a9"/>
              <w:spacing w:line="240" w:lineRule="auto"/>
              <w:ind w:firstLineChars="0" w:firstLine="0"/>
              <w:rPr>
                <w:sz w:val="21"/>
                <w:szCs w:val="21"/>
              </w:rPr>
            </w:pPr>
            <w:r>
              <w:rPr>
                <w:rFonts w:hint="eastAsia"/>
                <w:sz w:val="21"/>
                <w:szCs w:val="21"/>
              </w:rPr>
              <w:t>4.</w:t>
            </w:r>
            <w:r>
              <w:rPr>
                <w:rFonts w:hint="eastAsia"/>
                <w:sz w:val="21"/>
                <w:szCs w:val="21"/>
              </w:rPr>
              <w:t>竣工验收</w:t>
            </w:r>
          </w:p>
        </w:tc>
        <w:tc>
          <w:tcPr>
            <w:tcW w:w="1783" w:type="pct"/>
            <w:vAlign w:val="center"/>
          </w:tcPr>
          <w:p w:rsidR="00742F29" w:rsidRPr="00D4717B" w:rsidRDefault="00D4717B" w:rsidP="00742F29">
            <w:pPr>
              <w:pStyle w:val="a9"/>
              <w:spacing w:line="240" w:lineRule="auto"/>
              <w:ind w:firstLineChars="0" w:firstLine="0"/>
              <w:rPr>
                <w:sz w:val="21"/>
                <w:szCs w:val="21"/>
              </w:rPr>
            </w:pPr>
            <w:r w:rsidRPr="00D4717B">
              <w:rPr>
                <w:rFonts w:hint="eastAsia"/>
                <w:sz w:val="21"/>
                <w:szCs w:val="21"/>
              </w:rPr>
              <w:t>建设项目竣工投入生产或者使用前，生产经营单位应当组织对安全设施进行竣工验收，并形成书面报告备查。安全设施竣工验收合格后，方可投入生产和使用。</w:t>
            </w:r>
          </w:p>
        </w:tc>
        <w:tc>
          <w:tcPr>
            <w:tcW w:w="897" w:type="pct"/>
            <w:vAlign w:val="center"/>
          </w:tcPr>
          <w:p w:rsidR="00742F29" w:rsidRDefault="00D4717B" w:rsidP="00742F29">
            <w:pPr>
              <w:pStyle w:val="a9"/>
              <w:spacing w:line="240" w:lineRule="auto"/>
              <w:ind w:firstLineChars="0" w:firstLine="0"/>
              <w:rPr>
                <w:sz w:val="21"/>
                <w:szCs w:val="21"/>
              </w:rPr>
            </w:pPr>
            <w:r w:rsidRPr="00D4717B">
              <w:rPr>
                <w:rFonts w:hint="eastAsia"/>
                <w:sz w:val="21"/>
                <w:szCs w:val="21"/>
              </w:rPr>
              <w:t>《建设项目安全设施“三同时”监督管理办法》（</w:t>
            </w:r>
            <w:r w:rsidRPr="00D4717B">
              <w:rPr>
                <w:rFonts w:hint="eastAsia"/>
                <w:sz w:val="21"/>
                <w:szCs w:val="21"/>
              </w:rPr>
              <w:t>2015</w:t>
            </w:r>
            <w:r w:rsidRPr="00D4717B">
              <w:rPr>
                <w:rFonts w:hint="eastAsia"/>
                <w:sz w:val="21"/>
                <w:szCs w:val="21"/>
              </w:rPr>
              <w:t>年</w:t>
            </w:r>
            <w:r w:rsidRPr="00D4717B">
              <w:rPr>
                <w:rFonts w:hint="eastAsia"/>
                <w:sz w:val="21"/>
                <w:szCs w:val="21"/>
              </w:rPr>
              <w:t>77</w:t>
            </w:r>
            <w:r w:rsidRPr="00D4717B">
              <w:rPr>
                <w:rFonts w:hint="eastAsia"/>
                <w:sz w:val="21"/>
                <w:szCs w:val="21"/>
              </w:rPr>
              <w:t>号令修正）第</w:t>
            </w:r>
            <w:r w:rsidRPr="00D4717B">
              <w:rPr>
                <w:rFonts w:hint="eastAsia"/>
                <w:sz w:val="21"/>
                <w:szCs w:val="21"/>
              </w:rPr>
              <w:t>23</w:t>
            </w:r>
            <w:r w:rsidRPr="00D4717B">
              <w:rPr>
                <w:rFonts w:hint="eastAsia"/>
                <w:sz w:val="21"/>
                <w:szCs w:val="21"/>
              </w:rPr>
              <w:t>条</w:t>
            </w:r>
          </w:p>
        </w:tc>
        <w:tc>
          <w:tcPr>
            <w:tcW w:w="1248" w:type="pct"/>
            <w:vAlign w:val="center"/>
          </w:tcPr>
          <w:p w:rsidR="00742F29" w:rsidRDefault="00742F29" w:rsidP="00742F29">
            <w:pPr>
              <w:spacing w:line="240" w:lineRule="auto"/>
              <w:ind w:firstLineChars="0" w:firstLine="0"/>
              <w:rPr>
                <w:sz w:val="21"/>
                <w:szCs w:val="21"/>
              </w:rPr>
            </w:pPr>
          </w:p>
        </w:tc>
        <w:tc>
          <w:tcPr>
            <w:tcW w:w="475" w:type="pct"/>
            <w:vAlign w:val="center"/>
          </w:tcPr>
          <w:p w:rsidR="00742F29" w:rsidRDefault="00742F29" w:rsidP="00742F29">
            <w:pPr>
              <w:pStyle w:val="a9"/>
              <w:spacing w:line="240" w:lineRule="auto"/>
              <w:ind w:firstLineChars="0" w:firstLine="0"/>
              <w:jc w:val="center"/>
              <w:rPr>
                <w:sz w:val="21"/>
                <w:szCs w:val="21"/>
              </w:rPr>
            </w:pPr>
          </w:p>
        </w:tc>
      </w:tr>
      <w:tr w:rsidR="008B1B24" w:rsidTr="00D4717B">
        <w:trPr>
          <w:jc w:val="center"/>
        </w:trPr>
        <w:tc>
          <w:tcPr>
            <w:tcW w:w="598" w:type="pct"/>
            <w:vAlign w:val="center"/>
          </w:tcPr>
          <w:p w:rsidR="008B1B24" w:rsidRDefault="00D4717B" w:rsidP="008B1B24">
            <w:pPr>
              <w:pStyle w:val="a9"/>
              <w:spacing w:line="240" w:lineRule="auto"/>
              <w:ind w:firstLineChars="0" w:firstLine="0"/>
              <w:rPr>
                <w:sz w:val="21"/>
                <w:szCs w:val="21"/>
              </w:rPr>
            </w:pPr>
            <w:r>
              <w:rPr>
                <w:sz w:val="21"/>
                <w:szCs w:val="21"/>
              </w:rPr>
              <w:t>5</w:t>
            </w:r>
            <w:r w:rsidR="008B1B24">
              <w:rPr>
                <w:rFonts w:hint="eastAsia"/>
                <w:sz w:val="21"/>
                <w:szCs w:val="21"/>
              </w:rPr>
              <w:t>.</w:t>
            </w:r>
            <w:r w:rsidR="008B1B24">
              <w:rPr>
                <w:rFonts w:hint="eastAsia"/>
                <w:sz w:val="21"/>
                <w:szCs w:val="21"/>
              </w:rPr>
              <w:t>消防验收、备案</w:t>
            </w:r>
          </w:p>
        </w:tc>
        <w:tc>
          <w:tcPr>
            <w:tcW w:w="1783" w:type="pct"/>
            <w:vAlign w:val="center"/>
          </w:tcPr>
          <w:p w:rsidR="008B1B24" w:rsidRDefault="008B1B24" w:rsidP="008B1B24">
            <w:pPr>
              <w:overflowPunct w:val="0"/>
              <w:snapToGrid w:val="0"/>
              <w:spacing w:line="240" w:lineRule="auto"/>
              <w:ind w:firstLineChars="0" w:firstLine="0"/>
              <w:jc w:val="left"/>
              <w:rPr>
                <w:color w:val="000000" w:themeColor="text1"/>
                <w:sz w:val="21"/>
                <w:szCs w:val="21"/>
              </w:rPr>
            </w:pPr>
            <w:r>
              <w:rPr>
                <w:color w:val="000000" w:themeColor="text1"/>
                <w:sz w:val="21"/>
                <w:szCs w:val="21"/>
              </w:rPr>
              <w:t>国务院住房和城乡建设主管部门规定应当申请消防验收的建设工程竣工，建设单位应当向住房和城乡建设主管部门申请消防验收。前款规定以外的其他建设工程，建设单位在验收后应当报住房和城乡建设主管部门备案，住房和城乡建设主管部门应当进行抽查。依法应当进行消防验收的建设工程，未经消防验收或者消防验收不合格的，禁止投入使用；其他建设工程经依法抽查不合格的，应当停止使用。</w:t>
            </w:r>
          </w:p>
        </w:tc>
        <w:tc>
          <w:tcPr>
            <w:tcW w:w="897" w:type="pct"/>
            <w:vAlign w:val="center"/>
          </w:tcPr>
          <w:p w:rsidR="008B1B24" w:rsidRDefault="008B1B24" w:rsidP="008B1B24">
            <w:pPr>
              <w:pStyle w:val="a9"/>
              <w:spacing w:line="240" w:lineRule="auto"/>
              <w:ind w:firstLineChars="0" w:firstLine="0"/>
              <w:rPr>
                <w:sz w:val="21"/>
                <w:szCs w:val="21"/>
              </w:rPr>
            </w:pPr>
            <w:r>
              <w:rPr>
                <w:color w:val="000000"/>
                <w:sz w:val="21"/>
                <w:szCs w:val="21"/>
              </w:rPr>
              <w:t>《中华人民共和国消防法》（主席令</w:t>
            </w:r>
            <w:r>
              <w:rPr>
                <w:color w:val="000000"/>
                <w:sz w:val="21"/>
                <w:szCs w:val="21"/>
              </w:rPr>
              <w:t>[2019]</w:t>
            </w:r>
            <w:r>
              <w:rPr>
                <w:color w:val="000000"/>
                <w:sz w:val="21"/>
                <w:szCs w:val="21"/>
              </w:rPr>
              <w:t>第</w:t>
            </w:r>
            <w:r>
              <w:rPr>
                <w:color w:val="000000"/>
                <w:sz w:val="21"/>
                <w:szCs w:val="21"/>
              </w:rPr>
              <w:t>29</w:t>
            </w:r>
            <w:r>
              <w:rPr>
                <w:color w:val="000000"/>
                <w:sz w:val="21"/>
                <w:szCs w:val="21"/>
              </w:rPr>
              <w:t>号）第十三条</w:t>
            </w:r>
          </w:p>
        </w:tc>
        <w:tc>
          <w:tcPr>
            <w:tcW w:w="1248" w:type="pct"/>
            <w:vAlign w:val="center"/>
          </w:tcPr>
          <w:p w:rsidR="008B1B24" w:rsidRDefault="008B1B24" w:rsidP="008B1B24">
            <w:pPr>
              <w:pStyle w:val="30"/>
              <w:spacing w:line="240" w:lineRule="auto"/>
              <w:ind w:left="0" w:firstLine="0"/>
              <w:rPr>
                <w:sz w:val="21"/>
                <w:szCs w:val="21"/>
              </w:rPr>
            </w:pPr>
          </w:p>
        </w:tc>
        <w:tc>
          <w:tcPr>
            <w:tcW w:w="475" w:type="pct"/>
            <w:vAlign w:val="center"/>
          </w:tcPr>
          <w:p w:rsidR="008B1B24" w:rsidRDefault="008B1B24" w:rsidP="008B1B24">
            <w:pPr>
              <w:pStyle w:val="a9"/>
              <w:spacing w:line="240" w:lineRule="auto"/>
              <w:ind w:firstLineChars="0" w:firstLine="0"/>
              <w:jc w:val="center"/>
              <w:rPr>
                <w:sz w:val="21"/>
                <w:szCs w:val="21"/>
              </w:rPr>
            </w:pPr>
          </w:p>
        </w:tc>
      </w:tr>
    </w:tbl>
    <w:p w:rsidR="00742F29" w:rsidRDefault="00742F29" w:rsidP="00742F29">
      <w:pPr>
        <w:ind w:firstLine="562"/>
        <w:outlineLvl w:val="2"/>
        <w:rPr>
          <w:b/>
          <w:szCs w:val="28"/>
        </w:rPr>
      </w:pPr>
      <w:r>
        <w:rPr>
          <w:b/>
          <w:szCs w:val="28"/>
        </w:rPr>
        <w:t>5.</w:t>
      </w:r>
      <w:r>
        <w:rPr>
          <w:rFonts w:hint="eastAsia"/>
          <w:b/>
          <w:szCs w:val="28"/>
        </w:rPr>
        <w:t>1</w:t>
      </w:r>
      <w:r>
        <w:rPr>
          <w:b/>
          <w:szCs w:val="28"/>
        </w:rPr>
        <w:t>.</w:t>
      </w:r>
      <w:r>
        <w:rPr>
          <w:rFonts w:hint="eastAsia"/>
          <w:b/>
          <w:szCs w:val="28"/>
        </w:rPr>
        <w:t>2</w:t>
      </w:r>
      <w:r>
        <w:rPr>
          <w:rFonts w:hint="eastAsia"/>
          <w:b/>
          <w:szCs w:val="28"/>
        </w:rPr>
        <w:t>评价小结</w:t>
      </w:r>
    </w:p>
    <w:p w:rsidR="00742F29" w:rsidRDefault="00742F29" w:rsidP="00742F29">
      <w:pPr>
        <w:ind w:firstLine="480"/>
        <w:rPr>
          <w:sz w:val="24"/>
        </w:rPr>
      </w:pPr>
      <w:r>
        <w:rPr>
          <w:rFonts w:hint="eastAsia"/>
          <w:sz w:val="24"/>
        </w:rPr>
        <w:t>根据《广东省应急管理厅金属冶炼建设项目安全设施“三同时”监督管理实施细则》（粤应急规〔</w:t>
      </w:r>
      <w:r>
        <w:rPr>
          <w:rFonts w:hint="eastAsia"/>
          <w:sz w:val="24"/>
        </w:rPr>
        <w:t>2022</w:t>
      </w:r>
      <w:r>
        <w:rPr>
          <w:rFonts w:hint="eastAsia"/>
          <w:sz w:val="24"/>
        </w:rPr>
        <w:t>〕</w:t>
      </w:r>
      <w:r>
        <w:rPr>
          <w:rFonts w:hint="eastAsia"/>
          <w:sz w:val="24"/>
        </w:rPr>
        <w:t>1</w:t>
      </w:r>
      <w:r>
        <w:rPr>
          <w:rFonts w:hint="eastAsia"/>
          <w:sz w:val="24"/>
        </w:rPr>
        <w:t>号）、《产业结构调整指导目录（</w:t>
      </w:r>
      <w:r>
        <w:rPr>
          <w:rFonts w:hint="eastAsia"/>
          <w:sz w:val="24"/>
        </w:rPr>
        <w:t>2019</w:t>
      </w:r>
      <w:r>
        <w:rPr>
          <w:rFonts w:hint="eastAsia"/>
          <w:sz w:val="24"/>
        </w:rPr>
        <w:t>年本）》（发改委〔</w:t>
      </w:r>
      <w:r>
        <w:rPr>
          <w:rFonts w:hint="eastAsia"/>
          <w:sz w:val="24"/>
        </w:rPr>
        <w:t>2021</w:t>
      </w:r>
      <w:r>
        <w:rPr>
          <w:rFonts w:hint="eastAsia"/>
          <w:sz w:val="24"/>
        </w:rPr>
        <w:t>〕第</w:t>
      </w:r>
      <w:r>
        <w:rPr>
          <w:rFonts w:hint="eastAsia"/>
          <w:sz w:val="24"/>
        </w:rPr>
        <w:t>20</w:t>
      </w:r>
      <w:r>
        <w:rPr>
          <w:rFonts w:hint="eastAsia"/>
          <w:sz w:val="24"/>
        </w:rPr>
        <w:t>次委务会议修改），对该项目法律法规符合性相关内容检查</w:t>
      </w:r>
      <w:r w:rsidR="00D4717B">
        <w:rPr>
          <w:sz w:val="24"/>
        </w:rPr>
        <w:t>5</w:t>
      </w:r>
      <w:bookmarkStart w:id="3" w:name="_GoBack"/>
      <w:bookmarkEnd w:id="3"/>
      <w:r>
        <w:rPr>
          <w:rFonts w:hint="eastAsia"/>
          <w:sz w:val="24"/>
        </w:rPr>
        <w:t>大</w:t>
      </w:r>
      <w:r>
        <w:rPr>
          <w:sz w:val="24"/>
        </w:rPr>
        <w:t>项</w:t>
      </w:r>
      <w:r>
        <w:rPr>
          <w:rFonts w:hint="eastAsia"/>
          <w:sz w:val="24"/>
        </w:rPr>
        <w:t>，无不符合项。</w:t>
      </w:r>
    </w:p>
    <w:p w:rsidR="007F66BE" w:rsidRPr="00742F29" w:rsidRDefault="007F66BE" w:rsidP="00742F29">
      <w:pPr>
        <w:ind w:firstLine="560"/>
      </w:pPr>
    </w:p>
    <w:sectPr w:rsidR="007F66BE" w:rsidRPr="00742F2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AFA" w:rsidRDefault="00004AFA">
      <w:pPr>
        <w:spacing w:line="240" w:lineRule="auto"/>
        <w:ind w:firstLine="560"/>
      </w:pPr>
      <w:r>
        <w:separator/>
      </w:r>
    </w:p>
  </w:endnote>
  <w:endnote w:type="continuationSeparator" w:id="0">
    <w:p w:rsidR="00004AFA" w:rsidRDefault="00004AFA">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auto"/>
    <w:pitch w:val="default"/>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AFA" w:rsidRDefault="00004AFA">
      <w:pPr>
        <w:ind w:firstLine="560"/>
      </w:pPr>
      <w:r>
        <w:separator/>
      </w:r>
    </w:p>
  </w:footnote>
  <w:footnote w:type="continuationSeparator" w:id="0">
    <w:p w:rsidR="00004AFA" w:rsidRDefault="00004AFA">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F29" w:rsidRDefault="00742F29">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C64EF"/>
    <w:multiLevelType w:val="singleLevel"/>
    <w:tmpl w:val="68AC64EF"/>
    <w:lvl w:ilvl="0">
      <w:start w:val="1"/>
      <w:numFmt w:val="decimal"/>
      <w:lvlText w:val="%1."/>
      <w:lvlJc w:val="left"/>
      <w:pPr>
        <w:tabs>
          <w:tab w:val="num"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A4NDczMTY3MTRhYWYzODEwMWZhYzg2Mjg1NDA3YjkifQ=="/>
  </w:docVars>
  <w:rsids>
    <w:rsidRoot w:val="007F66BE"/>
    <w:rsid w:val="00004AFA"/>
    <w:rsid w:val="00090FB0"/>
    <w:rsid w:val="001A5871"/>
    <w:rsid w:val="004A165F"/>
    <w:rsid w:val="00742F29"/>
    <w:rsid w:val="00772DF8"/>
    <w:rsid w:val="007F66BE"/>
    <w:rsid w:val="008B1B24"/>
    <w:rsid w:val="00D4717B"/>
    <w:rsid w:val="1594735E"/>
    <w:rsid w:val="1CB23414"/>
    <w:rsid w:val="25AB53CA"/>
    <w:rsid w:val="2C612923"/>
    <w:rsid w:val="460A3A73"/>
    <w:rsid w:val="4FF44329"/>
    <w:rsid w:val="54B57B7C"/>
    <w:rsid w:val="5C221AFD"/>
    <w:rsid w:val="67237133"/>
    <w:rsid w:val="71710AF1"/>
    <w:rsid w:val="7A962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4E4E1"/>
  <w15:docId w15:val="{59C1CEF3-37E2-44A7-A05D-8E122F72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3"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360" w:lineRule="auto"/>
      <w:ind w:firstLineChars="200" w:firstLine="200"/>
      <w:jc w:val="both"/>
    </w:pPr>
    <w:rPr>
      <w:rFonts w:ascii="Times New Roman" w:eastAsia="宋体" w:hAnsi="Times New Roman" w:cs="Times New Roman"/>
      <w:kern w:val="2"/>
      <w:sz w:val="28"/>
      <w:szCs w:val="24"/>
    </w:rPr>
  </w:style>
  <w:style w:type="paragraph" w:styleId="2">
    <w:name w:val="heading 2"/>
    <w:basedOn w:val="a"/>
    <w:next w:val="a"/>
    <w:qFormat/>
    <w:pPr>
      <w:keepNext/>
      <w:keepLines/>
      <w:overflowPunct w:val="0"/>
      <w:snapToGrid w:val="0"/>
      <w:ind w:firstLineChars="0" w:firstLine="0"/>
      <w:jc w:val="left"/>
      <w:outlineLvl w:val="1"/>
    </w:pPr>
    <w:rPr>
      <w:rFonts w:eastAsia="楷体"/>
      <w:b/>
      <w:bCs/>
      <w:color w:val="000000" w:themeColor="text1"/>
      <w:sz w:val="32"/>
      <w:szCs w:val="28"/>
    </w:rPr>
  </w:style>
  <w:style w:type="paragraph" w:styleId="3">
    <w:name w:val="heading 3"/>
    <w:basedOn w:val="a"/>
    <w:next w:val="a"/>
    <w:uiPriority w:val="9"/>
    <w:qFormat/>
    <w:pPr>
      <w:snapToGrid w:val="0"/>
      <w:ind w:firstLineChars="0" w:firstLine="0"/>
      <w:jc w:val="left"/>
      <w:outlineLvl w:val="2"/>
    </w:pPr>
    <w:rPr>
      <w:b/>
      <w:bCs/>
      <w:color w:val="000000" w:themeColor="text1"/>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pacing w:before="240" w:after="60" w:line="720" w:lineRule="auto"/>
      <w:jc w:val="center"/>
      <w:outlineLvl w:val="0"/>
    </w:pPr>
    <w:rPr>
      <w:rFonts w:ascii="Cambria" w:hAnsi="Cambria"/>
      <w:sz w:val="13"/>
      <w:szCs w:val="20"/>
    </w:rPr>
  </w:style>
  <w:style w:type="paragraph" w:customStyle="1" w:styleId="a4">
    <w:name w:val="图表标题"/>
    <w:basedOn w:val="a"/>
    <w:qFormat/>
    <w:pPr>
      <w:snapToGrid w:val="0"/>
      <w:ind w:firstLineChars="0" w:firstLine="0"/>
      <w:jc w:val="center"/>
    </w:pPr>
    <w:rPr>
      <w:b/>
      <w:kern w:val="0"/>
      <w:sz w:val="21"/>
    </w:rPr>
  </w:style>
  <w:style w:type="paragraph" w:styleId="a5">
    <w:name w:val="header"/>
    <w:basedOn w:val="a"/>
    <w:link w:val="a6"/>
    <w:rsid w:val="00742F29"/>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742F29"/>
    <w:rPr>
      <w:rFonts w:ascii="Times New Roman" w:eastAsia="宋体" w:hAnsi="Times New Roman" w:cs="Times New Roman"/>
      <w:kern w:val="2"/>
      <w:sz w:val="18"/>
      <w:szCs w:val="18"/>
    </w:rPr>
  </w:style>
  <w:style w:type="paragraph" w:styleId="a7">
    <w:name w:val="footer"/>
    <w:basedOn w:val="a"/>
    <w:link w:val="a8"/>
    <w:rsid w:val="00742F29"/>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742F29"/>
    <w:rPr>
      <w:rFonts w:ascii="Times New Roman" w:eastAsia="宋体" w:hAnsi="Times New Roman" w:cs="Times New Roman"/>
      <w:kern w:val="2"/>
      <w:sz w:val="18"/>
      <w:szCs w:val="18"/>
    </w:rPr>
  </w:style>
  <w:style w:type="paragraph" w:customStyle="1" w:styleId="Default">
    <w:name w:val="Default"/>
    <w:basedOn w:val="a"/>
    <w:next w:val="30"/>
    <w:uiPriority w:val="99"/>
    <w:unhideWhenUsed/>
    <w:qFormat/>
    <w:rsid w:val="00742F29"/>
    <w:pPr>
      <w:autoSpaceDE w:val="0"/>
      <w:autoSpaceDN w:val="0"/>
      <w:adjustRightInd w:val="0"/>
      <w:ind w:firstLineChars="0" w:firstLine="0"/>
      <w:textAlignment w:val="baseline"/>
    </w:pPr>
    <w:rPr>
      <w:rFonts w:ascii="楷体_GB2312" w:hAnsi="楷体_GB2312" w:hint="eastAsia"/>
      <w:color w:val="000000"/>
      <w:sz w:val="24"/>
      <w:szCs w:val="22"/>
    </w:rPr>
  </w:style>
  <w:style w:type="paragraph" w:styleId="30">
    <w:name w:val="List 3"/>
    <w:basedOn w:val="a"/>
    <w:qFormat/>
    <w:rsid w:val="00742F29"/>
    <w:pPr>
      <w:ind w:left="1260" w:firstLineChars="0" w:hanging="420"/>
    </w:pPr>
    <w:rPr>
      <w:sz w:val="24"/>
      <w:szCs w:val="20"/>
    </w:rPr>
  </w:style>
  <w:style w:type="paragraph" w:styleId="a9">
    <w:name w:val="Body Text"/>
    <w:basedOn w:val="a"/>
    <w:next w:val="a"/>
    <w:link w:val="aa"/>
    <w:rsid w:val="00742F29"/>
    <w:pPr>
      <w:ind w:firstLine="643"/>
    </w:pPr>
    <w:rPr>
      <w:sz w:val="24"/>
    </w:rPr>
  </w:style>
  <w:style w:type="character" w:customStyle="1" w:styleId="aa">
    <w:name w:val="正文文本 字符"/>
    <w:basedOn w:val="a0"/>
    <w:link w:val="a9"/>
    <w:rsid w:val="00742F29"/>
    <w:rPr>
      <w:rFonts w:ascii="Times New Roman" w:eastAsia="宋体" w:hAnsi="Times New Roman" w:cs="Times New Roman"/>
      <w:kern w:val="2"/>
      <w:sz w:val="24"/>
      <w:szCs w:val="24"/>
    </w:rPr>
  </w:style>
  <w:style w:type="paragraph" w:customStyle="1" w:styleId="Char">
    <w:name w:val="Char"/>
    <w:basedOn w:val="a"/>
    <w:rsid w:val="00742F29"/>
    <w:pPr>
      <w:widowControl/>
      <w:spacing w:after="160" w:line="240" w:lineRule="exact"/>
      <w:ind w:firstLineChars="0" w:firstLine="0"/>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187</Words>
  <Characters>1071</Characters>
  <Application>Microsoft Office Word</Application>
  <DocSecurity>0</DocSecurity>
  <Lines>8</Lines>
  <Paragraphs>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dc:creator>
  <cp:lastModifiedBy>黄 晓虎</cp:lastModifiedBy>
  <cp:revision>6</cp:revision>
  <dcterms:created xsi:type="dcterms:W3CDTF">2021-06-24T00:37:00Z</dcterms:created>
  <dcterms:modified xsi:type="dcterms:W3CDTF">2022-09-13T02:55:00Z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C068F4D239F04D5584788E6E66F6D39F</vt:lpwstr>
  </property>
</Properties>
</file>