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EF" w:rsidRPr="00CA4587" w:rsidRDefault="00E84F45">
      <w:pPr>
        <w:keepNext/>
        <w:keepLines/>
        <w:overflowPunct w:val="0"/>
        <w:snapToGrid w:val="0"/>
        <w:spacing w:line="360" w:lineRule="auto"/>
        <w:jc w:val="left"/>
        <w:outlineLvl w:val="1"/>
        <w:rPr>
          <w:rFonts w:ascii="黑体" w:eastAsia="黑体" w:hAnsi="黑体" w:cs="Times New Roman"/>
          <w:bCs/>
          <w:color w:val="000000"/>
          <w:sz w:val="30"/>
          <w:szCs w:val="30"/>
        </w:rPr>
      </w:pPr>
      <w:bookmarkStart w:id="0" w:name="_Toc5155"/>
      <w:bookmarkStart w:id="1" w:name="_Toc98151565"/>
      <w:bookmarkStart w:id="2" w:name="_Toc14399"/>
      <w:r w:rsidRPr="00CA4587">
        <w:rPr>
          <w:rFonts w:ascii="黑体" w:eastAsia="黑体" w:hAnsi="黑体" w:cs="Times New Roman"/>
          <w:bCs/>
          <w:color w:val="000000"/>
          <w:sz w:val="30"/>
          <w:szCs w:val="30"/>
        </w:rPr>
        <w:t>5.3总平面布置单元</w:t>
      </w:r>
      <w:bookmarkEnd w:id="0"/>
      <w:bookmarkEnd w:id="1"/>
      <w:bookmarkEnd w:id="2"/>
    </w:p>
    <w:p w:rsidR="006F33EF" w:rsidRPr="00CA4587" w:rsidRDefault="00E84F45" w:rsidP="00394A06">
      <w:pPr>
        <w:snapToGrid w:val="0"/>
        <w:spacing w:line="360" w:lineRule="auto"/>
        <w:ind w:firstLineChars="200" w:firstLine="562"/>
        <w:jc w:val="left"/>
        <w:outlineLvl w:val="2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CA4587">
        <w:rPr>
          <w:rFonts w:ascii="宋体" w:eastAsia="宋体" w:hAnsi="宋体" w:cs="Times New Roman"/>
          <w:bCs/>
          <w:color w:val="000000"/>
          <w:sz w:val="28"/>
          <w:szCs w:val="28"/>
        </w:rPr>
        <w:t>5.3.</w:t>
      </w:r>
      <w:r w:rsidR="003F61FB" w:rsidRPr="00CA4587">
        <w:rPr>
          <w:rFonts w:ascii="宋体" w:eastAsia="宋体" w:hAnsi="宋体" w:cs="Times New Roman"/>
          <w:bCs/>
          <w:color w:val="000000"/>
          <w:sz w:val="28"/>
          <w:szCs w:val="28"/>
        </w:rPr>
        <w:t>1</w:t>
      </w:r>
      <w:r w:rsidRPr="00CA4587">
        <w:rPr>
          <w:rFonts w:ascii="宋体" w:eastAsia="宋体" w:hAnsi="宋体" w:cs="Times New Roman"/>
          <w:bCs/>
          <w:color w:val="000000"/>
          <w:sz w:val="28"/>
          <w:szCs w:val="28"/>
        </w:rPr>
        <w:t>安全检查表评价</w:t>
      </w:r>
    </w:p>
    <w:p w:rsidR="006F33EF" w:rsidRDefault="00E84F45">
      <w:pPr>
        <w:spacing w:line="360" w:lineRule="auto"/>
        <w:ind w:firstLineChars="192" w:firstLine="461"/>
        <w:rPr>
          <w:rFonts w:eastAsia="宋体" w:cs="Times New Roman"/>
          <w:b w:val="0"/>
          <w:szCs w:val="24"/>
        </w:rPr>
      </w:pPr>
      <w:r>
        <w:rPr>
          <w:rFonts w:eastAsia="宋体" w:cs="Times New Roman"/>
          <w:b w:val="0"/>
          <w:szCs w:val="24"/>
        </w:rPr>
        <w:t>根据《有色金属企业总图运输设计规范》（</w:t>
      </w:r>
      <w:r w:rsidR="008F0374">
        <w:rPr>
          <w:rFonts w:eastAsia="宋体" w:cs="Times New Roman"/>
          <w:b w:val="0"/>
          <w:szCs w:val="24"/>
        </w:rPr>
        <w:t>GB50544</w:t>
      </w:r>
      <w:r>
        <w:rPr>
          <w:rFonts w:eastAsia="宋体" w:cs="Times New Roman"/>
          <w:b w:val="0"/>
          <w:szCs w:val="24"/>
        </w:rPr>
        <w:t>-2009</w:t>
      </w:r>
      <w:r>
        <w:rPr>
          <w:rFonts w:eastAsia="宋体" w:cs="Times New Roman"/>
          <w:b w:val="0"/>
          <w:szCs w:val="24"/>
        </w:rPr>
        <w:t>）等相关法规、标准对该项目总体布局进行安全检查，其安全检查见下表。</w:t>
      </w:r>
    </w:p>
    <w:p w:rsidR="006F33EF" w:rsidRDefault="00E84F45">
      <w:pPr>
        <w:overflowPunct w:val="0"/>
        <w:snapToGrid w:val="0"/>
        <w:spacing w:line="320" w:lineRule="exact"/>
        <w:jc w:val="center"/>
        <w:rPr>
          <w:rFonts w:eastAsia="宋体" w:cs="Times New Roman"/>
          <w:bCs/>
          <w:color w:val="000000"/>
          <w:sz w:val="21"/>
          <w:szCs w:val="21"/>
        </w:rPr>
      </w:pPr>
      <w:r>
        <w:rPr>
          <w:rFonts w:eastAsia="宋体" w:cs="Times New Roman"/>
          <w:bCs/>
          <w:color w:val="000000"/>
          <w:sz w:val="21"/>
          <w:szCs w:val="21"/>
        </w:rPr>
        <w:t>表</w:t>
      </w:r>
      <w:r>
        <w:rPr>
          <w:rFonts w:eastAsia="宋体" w:cs="Times New Roman"/>
          <w:bCs/>
          <w:color w:val="000000"/>
          <w:sz w:val="21"/>
          <w:szCs w:val="21"/>
        </w:rPr>
        <w:t>5.3-1</w:t>
      </w:r>
      <w:r>
        <w:rPr>
          <w:rFonts w:eastAsia="宋体" w:cs="Times New Roman"/>
          <w:bCs/>
          <w:color w:val="000000"/>
          <w:sz w:val="21"/>
          <w:szCs w:val="21"/>
        </w:rPr>
        <w:t>总平面布置检查评价表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"/>
        <w:gridCol w:w="3851"/>
        <w:gridCol w:w="2268"/>
        <w:gridCol w:w="1842"/>
        <w:gridCol w:w="686"/>
      </w:tblGrid>
      <w:tr w:rsidR="006F33EF">
        <w:trPr>
          <w:tblHeader/>
          <w:jc w:val="center"/>
        </w:trPr>
        <w:tc>
          <w:tcPr>
            <w:tcW w:w="552" w:type="dxa"/>
          </w:tcPr>
          <w:p w:rsidR="006F33EF" w:rsidRDefault="00E84F45">
            <w:pPr>
              <w:pStyle w:val="a6"/>
              <w:spacing w:line="240" w:lineRule="auto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检查项目及内容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  <w:lang w:val="zh-CN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依据</w:t>
            </w:r>
          </w:p>
        </w:tc>
        <w:tc>
          <w:tcPr>
            <w:tcW w:w="1842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实际情况</w:t>
            </w:r>
          </w:p>
        </w:tc>
        <w:tc>
          <w:tcPr>
            <w:tcW w:w="686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结论</w:t>
            </w: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有色金属加工厂应靠近产品的主要用户，宜在城镇附近建设。中、小型加工厂也可在城镇中建设，但应注意对周围环境的影响。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4.2.5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工业场地总平面应按功能分区合理布置。功能分区应符合下列规定：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应符合企业总体布置要求，保证工艺流畅顺捷、生产系统完整。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应与外部运输、供水、供电等线路的衔接合理。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应合理利用场地的地形、气象、工程地质等自然条件。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可为通风、排水、安全、卫生、绿化、美化等的布置创造有利条件。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应合</w:t>
            </w:r>
            <w:proofErr w:type="gramStart"/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理确定</w:t>
            </w:r>
            <w:proofErr w:type="gramEnd"/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各功能区的外形和面积。功能区的面积、通道宽度应与建设规模相适应。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6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主要货流与主要人流应避免交叉。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5.1.2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总体布置应满足工艺流程，宜使主物料自流输送、减少各种物料的运输距离，并应满足生产管理方便、节能、降低企业的经营成本、提高经济效益的要求。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4.1.4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动力设施应靠近全厂负荷中心或负荷较大的车间。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5.9.1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全厂性材料、备品、配件仓库或堆场宜分类合并，并宜靠近主要货运线路出入口集中布置。车间专用仓库应靠近主要用户。备品、配件、工具、小五金和劳保用品等仓库可采用合并建筑或多层建筑。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5.11.1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厂区主要人流出入口宜与繁忙的货流出入口分开设置。占地面积在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万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m2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以上的企业，应设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个以上的出入口。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5.12.7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变电所布置应符合下列规定：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车间变、配电站宜与所服务的车间合并建筑。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5.9.2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办公楼应位于厂前区，并应有较好的朝向和安静、清洁的环境以及对内、对外联系方便的条件。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5.12.2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2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厂区通道宽度可按表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5.1.3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中的数值确定，并应符合下列规定：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满足通道两侧建（构）筑物和露天装置对安全、防火、通风、采光、卫生等的要求。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满足地上、地下管线，各种运输线路、人行道、绿化带等的布置要求。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满足厂区排水、施工、安装、检修的要求。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满足通道间需要设置挡土墙</w:t>
            </w:r>
            <w:proofErr w:type="gramStart"/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或放坡的</w:t>
            </w:r>
            <w:proofErr w:type="gramEnd"/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要求。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满足抗灾救灾主要人流疏散要求。</w:t>
            </w:r>
          </w:p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6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应与通道两侧建筑物的高度相适应。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spacing w:line="240" w:lineRule="auto"/>
              <w:jc w:val="left"/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《有色金属企业总图运输设计规范》（</w:t>
            </w:r>
            <w:r w:rsidR="008F0374"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GB50544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-2009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）第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5.1.3</w:t>
            </w:r>
            <w:r>
              <w:rPr>
                <w:rFonts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</w:tbl>
    <w:p w:rsidR="006F33EF" w:rsidRPr="00CA4587" w:rsidRDefault="00E84F45" w:rsidP="00CA4587">
      <w:pPr>
        <w:snapToGrid w:val="0"/>
        <w:spacing w:line="360" w:lineRule="auto"/>
        <w:ind w:firstLineChars="200" w:firstLine="562"/>
        <w:jc w:val="left"/>
        <w:outlineLvl w:val="2"/>
        <w:rPr>
          <w:rFonts w:ascii="宋体" w:eastAsia="宋体" w:hAnsi="宋体" w:cs="Times New Roman"/>
          <w:bCs/>
          <w:color w:val="000000"/>
          <w:sz w:val="28"/>
          <w:szCs w:val="28"/>
        </w:rPr>
      </w:pPr>
      <w:bookmarkStart w:id="3" w:name="_GoBack"/>
      <w:r w:rsidRPr="00CA4587">
        <w:rPr>
          <w:rFonts w:ascii="宋体" w:eastAsia="宋体" w:hAnsi="宋体" w:cs="Times New Roman"/>
          <w:bCs/>
          <w:color w:val="000000"/>
          <w:sz w:val="28"/>
          <w:szCs w:val="28"/>
        </w:rPr>
        <w:t>5.3.2单元评价小结</w:t>
      </w:r>
    </w:p>
    <w:bookmarkEnd w:id="3"/>
    <w:p w:rsidR="006F33EF" w:rsidRDefault="00E84F45">
      <w:pPr>
        <w:spacing w:line="360" w:lineRule="auto"/>
        <w:ind w:firstLineChars="200" w:firstLine="480"/>
        <w:rPr>
          <w:rFonts w:eastAsia="宋体" w:cs="Times New Roman"/>
          <w:b w:val="0"/>
          <w:szCs w:val="24"/>
        </w:rPr>
      </w:pPr>
      <w:r>
        <w:rPr>
          <w:rFonts w:eastAsia="宋体" w:cs="Times New Roman"/>
          <w:b w:val="0"/>
          <w:szCs w:val="24"/>
        </w:rPr>
        <w:t>根据《有色金属企业总图运输设计规范》（</w:t>
      </w:r>
      <w:r w:rsidR="008F0374">
        <w:rPr>
          <w:rFonts w:eastAsia="宋体" w:cs="Times New Roman"/>
          <w:b w:val="0"/>
          <w:szCs w:val="24"/>
        </w:rPr>
        <w:t>GB50544</w:t>
      </w:r>
      <w:r>
        <w:rPr>
          <w:rFonts w:eastAsia="宋体" w:cs="Times New Roman"/>
          <w:b w:val="0"/>
          <w:szCs w:val="24"/>
        </w:rPr>
        <w:t>-2009</w:t>
      </w:r>
      <w:r>
        <w:rPr>
          <w:rFonts w:eastAsia="宋体" w:cs="Times New Roman"/>
          <w:b w:val="0"/>
          <w:szCs w:val="24"/>
        </w:rPr>
        <w:t>）等相关法规、标准对该项目总体布局进行安全检查。由上表可知，对企业总体布局，包括选址、总平面布置、厂区运输道路合共检查</w:t>
      </w:r>
      <w:r>
        <w:rPr>
          <w:rFonts w:eastAsia="宋体" w:cs="Times New Roman" w:hint="eastAsia"/>
          <w:b w:val="0"/>
          <w:szCs w:val="24"/>
        </w:rPr>
        <w:t>9</w:t>
      </w:r>
      <w:r>
        <w:rPr>
          <w:rFonts w:eastAsia="宋体" w:cs="Times New Roman"/>
          <w:b w:val="0"/>
          <w:szCs w:val="24"/>
        </w:rPr>
        <w:t>项，均符合要求。</w:t>
      </w:r>
    </w:p>
    <w:p w:rsidR="006F33EF" w:rsidRDefault="006F33EF">
      <w:pPr>
        <w:rPr>
          <w:rFonts w:cs="Times New Roman"/>
        </w:rPr>
      </w:pPr>
    </w:p>
    <w:sectPr w:rsidR="006F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A4" w:rsidRDefault="00BC27A4">
      <w:pPr>
        <w:spacing w:line="240" w:lineRule="auto"/>
      </w:pPr>
      <w:r>
        <w:separator/>
      </w:r>
    </w:p>
  </w:endnote>
  <w:endnote w:type="continuationSeparator" w:id="0">
    <w:p w:rsidR="00BC27A4" w:rsidRDefault="00BC2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A4" w:rsidRDefault="00BC27A4">
      <w:pPr>
        <w:spacing w:line="240" w:lineRule="auto"/>
      </w:pPr>
      <w:r>
        <w:separator/>
      </w:r>
    </w:p>
  </w:footnote>
  <w:footnote w:type="continuationSeparator" w:id="0">
    <w:p w:rsidR="00BC27A4" w:rsidRDefault="00BC27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6EAB58"/>
    <w:multiLevelType w:val="singleLevel"/>
    <w:tmpl w:val="E36EAB58"/>
    <w:lvl w:ilvl="0">
      <w:start w:val="1"/>
      <w:numFmt w:val="decimal"/>
      <w:lvlText w:val="%1"/>
      <w:lvlJc w:val="left"/>
      <w:pPr>
        <w:ind w:left="425" w:hanging="368"/>
      </w:pPr>
      <w:rPr>
        <w:rFonts w:ascii="宋体" w:eastAsia="宋体" w:hAnsi="宋体" w:cs="宋体" w:hint="default"/>
        <w:b w:val="0"/>
        <w:bCs w:val="0"/>
      </w:rPr>
    </w:lvl>
  </w:abstractNum>
  <w:abstractNum w:abstractNumId="1" w15:restartNumberingAfterBreak="0">
    <w:nsid w:val="298F98B9"/>
    <w:multiLevelType w:val="singleLevel"/>
    <w:tmpl w:val="298F98B9"/>
    <w:lvl w:ilvl="0">
      <w:start w:val="1"/>
      <w:numFmt w:val="decimal"/>
      <w:lvlText w:val="%1"/>
      <w:lvlJc w:val="left"/>
      <w:pPr>
        <w:ind w:left="425" w:hanging="368"/>
      </w:pPr>
      <w:rPr>
        <w:rFonts w:ascii="宋体" w:eastAsia="宋体" w:hAnsi="宋体" w:cs="宋体"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4NDczMTY3MTRhYWYzODEwMWZhYzg2Mjg1NDA3YjkifQ=="/>
  </w:docVars>
  <w:rsids>
    <w:rsidRoot w:val="006F33EF"/>
    <w:rsid w:val="00247074"/>
    <w:rsid w:val="00324D7A"/>
    <w:rsid w:val="00394A06"/>
    <w:rsid w:val="003F61FB"/>
    <w:rsid w:val="006F33EF"/>
    <w:rsid w:val="008F0374"/>
    <w:rsid w:val="00BC27A4"/>
    <w:rsid w:val="00CA4587"/>
    <w:rsid w:val="00D55447"/>
    <w:rsid w:val="00E84F45"/>
    <w:rsid w:val="08292071"/>
    <w:rsid w:val="1B315955"/>
    <w:rsid w:val="1CB23414"/>
    <w:rsid w:val="2C612923"/>
    <w:rsid w:val="33A556C8"/>
    <w:rsid w:val="460A3A73"/>
    <w:rsid w:val="5C976615"/>
    <w:rsid w:val="710B2AA7"/>
    <w:rsid w:val="77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A8E587-11DB-4B08-9DC7-FBA8833E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jc w:val="both"/>
    </w:pPr>
    <w:rPr>
      <w:rFonts w:ascii="Times New Roman" w:hAnsi="Times New Roman"/>
      <w:b/>
      <w:kern w:val="2"/>
      <w:sz w:val="2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Title"/>
    <w:basedOn w:val="a"/>
    <w:next w:val="a"/>
    <w:qFormat/>
    <w:pPr>
      <w:spacing w:before="240" w:after="60" w:line="720" w:lineRule="auto"/>
      <w:jc w:val="center"/>
      <w:outlineLvl w:val="0"/>
    </w:pPr>
    <w:rPr>
      <w:rFonts w:ascii="Cambria" w:eastAsia="宋体" w:hAnsi="Cambria"/>
      <w:sz w:val="13"/>
      <w:szCs w:val="20"/>
    </w:rPr>
  </w:style>
  <w:style w:type="paragraph" w:customStyle="1" w:styleId="a6">
    <w:name w:val="图表标题"/>
    <w:basedOn w:val="a"/>
    <w:qFormat/>
    <w:pPr>
      <w:snapToGrid w:val="0"/>
      <w:jc w:val="center"/>
    </w:pPr>
    <w:rPr>
      <w:kern w:val="0"/>
      <w:sz w:val="21"/>
    </w:rPr>
  </w:style>
  <w:style w:type="paragraph" w:styleId="a7">
    <w:name w:val="header"/>
    <w:basedOn w:val="a"/>
    <w:link w:val="a8"/>
    <w:rsid w:val="008F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8F0374"/>
    <w:rPr>
      <w:rFonts w:ascii="Times New Roman" w:hAnsi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黄 晓虎</cp:lastModifiedBy>
  <cp:revision>7</cp:revision>
  <dcterms:created xsi:type="dcterms:W3CDTF">2021-06-24T00:37:00Z</dcterms:created>
  <dcterms:modified xsi:type="dcterms:W3CDTF">2022-09-13T05:58:00Z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C068F4D239F04D5584788E6E66F6D39F</vt:lpwstr>
  </property>
</Properties>
</file>