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8A96" w14:textId="77777777" w:rsidR="00AD32F3" w:rsidRPr="00AD32F3" w:rsidRDefault="00AD32F3" w:rsidP="00AD32F3">
      <w:pPr>
        <w:widowControl/>
        <w:shd w:val="clear" w:color="auto" w:fill="FFFFFF"/>
        <w:spacing w:after="312" w:line="600" w:lineRule="atLeast"/>
        <w:jc w:val="center"/>
        <w:rPr>
          <w:rFonts w:ascii="宋体" w:eastAsia="宋体" w:hAnsi="宋体" w:cs="宋体"/>
          <w:color w:val="333333"/>
          <w:kern w:val="0"/>
          <w:sz w:val="32"/>
          <w:szCs w:val="32"/>
        </w:rPr>
      </w:pPr>
      <w:r w:rsidRPr="00AD32F3">
        <w:rPr>
          <w:rFonts w:ascii="宋体" w:eastAsia="宋体" w:hAnsi="宋体" w:cs="宋体" w:hint="eastAsia"/>
          <w:b/>
          <w:bCs/>
          <w:color w:val="333333"/>
          <w:kern w:val="0"/>
          <w:sz w:val="32"/>
          <w:szCs w:val="32"/>
        </w:rPr>
        <w:t>国家安全监管总局关于印发金属非金属</w:t>
      </w:r>
    </w:p>
    <w:p w14:paraId="01EC8193" w14:textId="77777777" w:rsidR="00AD32F3" w:rsidRPr="00AD32F3" w:rsidRDefault="00AD32F3" w:rsidP="00AD32F3">
      <w:pPr>
        <w:widowControl/>
        <w:shd w:val="clear" w:color="auto" w:fill="FFFFFF"/>
        <w:spacing w:after="312" w:line="600" w:lineRule="atLeast"/>
        <w:jc w:val="center"/>
        <w:rPr>
          <w:rFonts w:ascii="宋体" w:eastAsia="宋体" w:hAnsi="宋体" w:cs="宋体" w:hint="eastAsia"/>
          <w:color w:val="333333"/>
          <w:kern w:val="0"/>
          <w:sz w:val="32"/>
          <w:szCs w:val="32"/>
        </w:rPr>
      </w:pPr>
      <w:r w:rsidRPr="00AD32F3">
        <w:rPr>
          <w:rFonts w:ascii="宋体" w:eastAsia="宋体" w:hAnsi="宋体" w:cs="宋体" w:hint="eastAsia"/>
          <w:b/>
          <w:bCs/>
          <w:color w:val="333333"/>
          <w:kern w:val="0"/>
          <w:sz w:val="32"/>
          <w:szCs w:val="32"/>
        </w:rPr>
        <w:t>矿山建设项目安全设施设计重大变更范围的通知</w:t>
      </w:r>
    </w:p>
    <w:p w14:paraId="69339926" w14:textId="77777777" w:rsidR="00AD32F3" w:rsidRPr="00AD32F3" w:rsidRDefault="00AD32F3" w:rsidP="00AD32F3">
      <w:pPr>
        <w:widowControl/>
        <w:shd w:val="clear" w:color="auto" w:fill="FFFFFF"/>
        <w:spacing w:after="312" w:line="600" w:lineRule="atLeast"/>
        <w:jc w:val="center"/>
        <w:rPr>
          <w:rFonts w:ascii="宋体" w:eastAsia="宋体" w:hAnsi="宋体" w:cs="宋体" w:hint="eastAsia"/>
          <w:color w:val="333333"/>
          <w:kern w:val="0"/>
          <w:sz w:val="32"/>
          <w:szCs w:val="32"/>
        </w:rPr>
      </w:pPr>
      <w:r w:rsidRPr="00AD32F3">
        <w:rPr>
          <w:rFonts w:ascii="楷体_GB2312" w:eastAsia="楷体_GB2312" w:hAnsi="宋体" w:cs="宋体" w:hint="eastAsia"/>
          <w:color w:val="333333"/>
          <w:kern w:val="0"/>
          <w:sz w:val="32"/>
          <w:szCs w:val="32"/>
        </w:rPr>
        <w:t>安监总管</w:t>
      </w:r>
      <w:proofErr w:type="gramStart"/>
      <w:r w:rsidRPr="00AD32F3">
        <w:rPr>
          <w:rFonts w:ascii="楷体_GB2312" w:eastAsia="楷体_GB2312" w:hAnsi="宋体" w:cs="宋体" w:hint="eastAsia"/>
          <w:color w:val="333333"/>
          <w:kern w:val="0"/>
          <w:sz w:val="32"/>
          <w:szCs w:val="32"/>
        </w:rPr>
        <w:t>一</w:t>
      </w:r>
      <w:proofErr w:type="gramEnd"/>
      <w:r w:rsidRPr="00AD32F3">
        <w:rPr>
          <w:rFonts w:ascii="楷体_GB2312" w:eastAsia="楷体_GB2312" w:hAnsi="宋体" w:cs="宋体" w:hint="eastAsia"/>
          <w:color w:val="333333"/>
          <w:kern w:val="0"/>
          <w:sz w:val="32"/>
          <w:szCs w:val="32"/>
        </w:rPr>
        <w:t>〔2016〕18号</w:t>
      </w:r>
    </w:p>
    <w:p w14:paraId="7B874236" w14:textId="77777777" w:rsidR="00AD32F3" w:rsidRPr="00AD32F3" w:rsidRDefault="00AD32F3" w:rsidP="00AD32F3">
      <w:pPr>
        <w:widowControl/>
        <w:shd w:val="clear" w:color="auto" w:fill="FFFFFF"/>
        <w:spacing w:after="312" w:line="600" w:lineRule="atLeast"/>
        <w:jc w:val="left"/>
        <w:rPr>
          <w:rFonts w:ascii="宋体" w:eastAsia="宋体" w:hAnsi="宋体" w:cs="宋体" w:hint="eastAsia"/>
          <w:color w:val="333333"/>
          <w:kern w:val="0"/>
          <w:sz w:val="32"/>
          <w:szCs w:val="32"/>
        </w:rPr>
      </w:pPr>
      <w:r w:rsidRPr="00AD32F3">
        <w:rPr>
          <w:rFonts w:ascii="宋体" w:eastAsia="宋体" w:hAnsi="宋体" w:cs="宋体" w:hint="eastAsia"/>
          <w:color w:val="333333"/>
          <w:kern w:val="0"/>
          <w:sz w:val="32"/>
          <w:szCs w:val="32"/>
        </w:rPr>
        <w:t>各省、自治区、直辖市及新疆生产建设兵团安全生产监督管理局，有关中央企业：</w:t>
      </w:r>
    </w:p>
    <w:p w14:paraId="0F0408AE" w14:textId="77777777" w:rsidR="00AD32F3" w:rsidRPr="00AD32F3" w:rsidRDefault="00AD32F3" w:rsidP="00AD32F3">
      <w:pPr>
        <w:widowControl/>
        <w:shd w:val="clear" w:color="auto" w:fill="FFFFFF"/>
        <w:spacing w:after="312" w:line="600" w:lineRule="atLeast"/>
        <w:ind w:firstLine="420"/>
        <w:jc w:val="left"/>
        <w:rPr>
          <w:rFonts w:ascii="宋体" w:eastAsia="宋体" w:hAnsi="宋体" w:cs="宋体" w:hint="eastAsia"/>
          <w:color w:val="333333"/>
          <w:kern w:val="0"/>
          <w:sz w:val="30"/>
          <w:szCs w:val="30"/>
        </w:rPr>
      </w:pPr>
      <w:r w:rsidRPr="00AD32F3">
        <w:rPr>
          <w:rFonts w:ascii="宋体" w:eastAsia="宋体" w:hAnsi="宋体" w:cs="宋体" w:hint="eastAsia"/>
          <w:color w:val="333333"/>
          <w:kern w:val="0"/>
          <w:sz w:val="30"/>
          <w:szCs w:val="30"/>
        </w:rPr>
        <w:t>为进一步规范金属非金属矿山建设项目安全设施设计重大变更后的审查工作，根据《建设项目安全设施“三同时”监督管理办法》（国家安全监管总局令第</w:t>
      </w:r>
      <w:r w:rsidRPr="00AD32F3">
        <w:rPr>
          <w:rFonts w:ascii="Calibri" w:eastAsia="宋体" w:hAnsi="Calibri" w:cs="Calibri" w:hint="eastAsia"/>
          <w:color w:val="333333"/>
          <w:kern w:val="0"/>
          <w:sz w:val="30"/>
          <w:szCs w:val="30"/>
        </w:rPr>
        <w:t>36</w:t>
      </w:r>
      <w:r w:rsidRPr="00AD32F3">
        <w:rPr>
          <w:rFonts w:ascii="宋体" w:eastAsia="宋体" w:hAnsi="宋体" w:cs="宋体" w:hint="eastAsia"/>
          <w:color w:val="333333"/>
          <w:kern w:val="0"/>
          <w:sz w:val="30"/>
          <w:szCs w:val="30"/>
        </w:rPr>
        <w:t>号）和《金属非金属矿山建设项目安全设施目录（试行）》（国家安全监管总局令第</w:t>
      </w:r>
      <w:r w:rsidRPr="00AD32F3">
        <w:rPr>
          <w:rFonts w:ascii="Calibri" w:eastAsia="宋体" w:hAnsi="Calibri" w:cs="Calibri" w:hint="eastAsia"/>
          <w:color w:val="333333"/>
          <w:kern w:val="0"/>
          <w:sz w:val="30"/>
          <w:szCs w:val="30"/>
        </w:rPr>
        <w:t>75</w:t>
      </w:r>
      <w:r w:rsidRPr="00AD32F3">
        <w:rPr>
          <w:rFonts w:ascii="宋体" w:eastAsia="宋体" w:hAnsi="宋体" w:cs="宋体" w:hint="eastAsia"/>
          <w:color w:val="333333"/>
          <w:kern w:val="0"/>
          <w:sz w:val="30"/>
          <w:szCs w:val="30"/>
        </w:rPr>
        <w:t>号），国家安全监管总局制定了《金属非金属矿山建设项目安全设施设计重大变更范围》，现印发给你们，请遵照执行。</w:t>
      </w:r>
    </w:p>
    <w:p w14:paraId="28CDC6D1" w14:textId="77777777" w:rsidR="00AD32F3" w:rsidRPr="00AD32F3" w:rsidRDefault="00AD32F3" w:rsidP="00AD32F3">
      <w:pPr>
        <w:widowControl/>
        <w:shd w:val="clear" w:color="auto" w:fill="FFFFFF"/>
        <w:spacing w:after="312" w:line="600" w:lineRule="atLeast"/>
        <w:ind w:firstLine="420"/>
        <w:jc w:val="left"/>
        <w:rPr>
          <w:rFonts w:ascii="宋体" w:eastAsia="宋体" w:hAnsi="宋体" w:cs="宋体" w:hint="eastAsia"/>
          <w:color w:val="333333"/>
          <w:kern w:val="0"/>
          <w:sz w:val="30"/>
          <w:szCs w:val="30"/>
        </w:rPr>
      </w:pPr>
      <w:r w:rsidRPr="00AD32F3">
        <w:rPr>
          <w:rFonts w:ascii="宋体" w:eastAsia="宋体" w:hAnsi="宋体" w:cs="宋体" w:hint="eastAsia"/>
          <w:color w:val="333333"/>
          <w:kern w:val="0"/>
          <w:sz w:val="30"/>
          <w:szCs w:val="30"/>
        </w:rPr>
        <w:t>建设单位在建设期间对已经批准的金属非金属矿山建设项目安全设施设计做出变更，且列入《金属非金属矿山建设项目安全设施设计重大变更范围》的，应当编写金属非金属矿山建设项目安全设施重大变更设计，并报原批准部门审查同意。未经审查同意的，不得开工建设。</w:t>
      </w:r>
    </w:p>
    <w:p w14:paraId="7950FDF7" w14:textId="77777777" w:rsidR="00AD32F3" w:rsidRPr="00AD32F3" w:rsidRDefault="00AD32F3" w:rsidP="00AD32F3">
      <w:pPr>
        <w:widowControl/>
        <w:shd w:val="clear" w:color="auto" w:fill="FFFFFF"/>
        <w:spacing w:after="312" w:line="600" w:lineRule="atLeast"/>
        <w:ind w:firstLine="420"/>
        <w:jc w:val="right"/>
        <w:rPr>
          <w:rFonts w:ascii="宋体" w:eastAsia="宋体" w:hAnsi="宋体" w:cs="宋体" w:hint="eastAsia"/>
          <w:color w:val="333333"/>
          <w:kern w:val="0"/>
          <w:sz w:val="32"/>
          <w:szCs w:val="32"/>
        </w:rPr>
      </w:pPr>
      <w:r w:rsidRPr="00AD32F3">
        <w:rPr>
          <w:rFonts w:ascii="宋体" w:eastAsia="宋体" w:hAnsi="宋体" w:cs="宋体" w:hint="eastAsia"/>
          <w:color w:val="333333"/>
          <w:kern w:val="0"/>
          <w:sz w:val="32"/>
          <w:szCs w:val="32"/>
        </w:rPr>
        <w:t>安全监管总局</w:t>
      </w:r>
      <w:r w:rsidRPr="00AD32F3">
        <w:rPr>
          <w:rFonts w:ascii="Calibri" w:eastAsia="宋体" w:hAnsi="Calibri" w:cs="Calibri" w:hint="eastAsia"/>
          <w:color w:val="333333"/>
          <w:kern w:val="0"/>
          <w:sz w:val="32"/>
          <w:szCs w:val="32"/>
        </w:rPr>
        <w:t>  </w:t>
      </w:r>
    </w:p>
    <w:p w14:paraId="332BD5DB" w14:textId="5E724478" w:rsidR="00AD32F3" w:rsidRPr="00AD32F3" w:rsidRDefault="00AD32F3" w:rsidP="00AD32F3">
      <w:pPr>
        <w:widowControl/>
        <w:shd w:val="clear" w:color="auto" w:fill="FFFFFF"/>
        <w:spacing w:after="312" w:line="600" w:lineRule="atLeast"/>
        <w:ind w:firstLine="420"/>
        <w:jc w:val="right"/>
        <w:rPr>
          <w:rFonts w:ascii="宋体" w:eastAsia="宋体" w:hAnsi="宋体" w:cs="宋体" w:hint="eastAsia"/>
          <w:color w:val="333333"/>
          <w:kern w:val="0"/>
          <w:sz w:val="32"/>
          <w:szCs w:val="32"/>
        </w:rPr>
      </w:pPr>
      <w:r w:rsidRPr="00AD32F3">
        <w:rPr>
          <w:rFonts w:ascii="Calibri" w:eastAsia="宋体" w:hAnsi="Calibri" w:cs="Calibri" w:hint="eastAsia"/>
          <w:color w:val="333333"/>
          <w:kern w:val="0"/>
          <w:sz w:val="32"/>
          <w:szCs w:val="32"/>
        </w:rPr>
        <w:t>2016</w:t>
      </w:r>
      <w:r w:rsidRPr="00AD32F3">
        <w:rPr>
          <w:rFonts w:ascii="宋体" w:eastAsia="宋体" w:hAnsi="宋体" w:cs="宋体" w:hint="eastAsia"/>
          <w:color w:val="333333"/>
          <w:kern w:val="0"/>
          <w:sz w:val="32"/>
          <w:szCs w:val="32"/>
        </w:rPr>
        <w:t>年</w:t>
      </w:r>
      <w:r w:rsidRPr="00AD32F3">
        <w:rPr>
          <w:rFonts w:ascii="Calibri" w:eastAsia="宋体" w:hAnsi="Calibri" w:cs="Calibri" w:hint="eastAsia"/>
          <w:color w:val="333333"/>
          <w:kern w:val="0"/>
          <w:sz w:val="32"/>
          <w:szCs w:val="32"/>
        </w:rPr>
        <w:t>2</w:t>
      </w:r>
      <w:r w:rsidRPr="00AD32F3">
        <w:rPr>
          <w:rFonts w:ascii="宋体" w:eastAsia="宋体" w:hAnsi="宋体" w:cs="宋体" w:hint="eastAsia"/>
          <w:color w:val="333333"/>
          <w:kern w:val="0"/>
          <w:sz w:val="32"/>
          <w:szCs w:val="32"/>
        </w:rPr>
        <w:t>月</w:t>
      </w:r>
      <w:r w:rsidRPr="00AD32F3">
        <w:rPr>
          <w:rFonts w:ascii="Calibri" w:eastAsia="宋体" w:hAnsi="Calibri" w:cs="Calibri" w:hint="eastAsia"/>
          <w:color w:val="333333"/>
          <w:kern w:val="0"/>
          <w:sz w:val="32"/>
          <w:szCs w:val="32"/>
        </w:rPr>
        <w:t>17</w:t>
      </w:r>
      <w:r w:rsidRPr="00AD32F3">
        <w:rPr>
          <w:rFonts w:ascii="宋体" w:eastAsia="宋体" w:hAnsi="宋体" w:cs="宋体" w:hint="eastAsia"/>
          <w:color w:val="333333"/>
          <w:kern w:val="0"/>
          <w:sz w:val="32"/>
          <w:szCs w:val="32"/>
        </w:rPr>
        <w:t>日</w:t>
      </w:r>
      <w:r w:rsidRPr="00AD32F3">
        <w:rPr>
          <w:rFonts w:ascii="Calibri" w:eastAsia="宋体" w:hAnsi="Calibri" w:cs="Calibri" w:hint="eastAsia"/>
          <w:color w:val="333333"/>
          <w:kern w:val="0"/>
          <w:sz w:val="32"/>
          <w:szCs w:val="32"/>
        </w:rPr>
        <w:t> </w:t>
      </w:r>
    </w:p>
    <w:p w14:paraId="35DA8113" w14:textId="60B99053" w:rsidR="00AD32F3" w:rsidRPr="00AD32F3" w:rsidRDefault="00AD32F3" w:rsidP="00AD32F3">
      <w:pPr>
        <w:widowControl/>
        <w:shd w:val="clear" w:color="auto" w:fill="FFFFFF"/>
        <w:spacing w:after="312" w:line="600" w:lineRule="atLeast"/>
        <w:jc w:val="center"/>
        <w:rPr>
          <w:rFonts w:ascii="宋体" w:eastAsia="宋体" w:hAnsi="宋体" w:cs="宋体" w:hint="eastAsia"/>
          <w:color w:val="333333"/>
          <w:kern w:val="0"/>
          <w:sz w:val="32"/>
          <w:szCs w:val="32"/>
        </w:rPr>
      </w:pPr>
      <w:r w:rsidRPr="00AD32F3">
        <w:rPr>
          <w:rFonts w:ascii="宋体" w:eastAsia="宋体" w:hAnsi="宋体" w:cs="宋体" w:hint="eastAsia"/>
          <w:b/>
          <w:bCs/>
          <w:color w:val="333333"/>
          <w:kern w:val="0"/>
          <w:sz w:val="32"/>
          <w:szCs w:val="32"/>
        </w:rPr>
        <w:lastRenderedPageBreak/>
        <w:t>金属非金属矿山建设项目安全设施设计重大变更范围</w:t>
      </w:r>
    </w:p>
    <w:p w14:paraId="1A967FB6"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一、地下矿山</w:t>
      </w:r>
    </w:p>
    <w:p w14:paraId="1AAE1960"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（一）开采范围或设计规模。</w:t>
      </w:r>
    </w:p>
    <w:p w14:paraId="24102A74"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设计开采范围或规模发生变化，并导致下列情况之一的：</w:t>
      </w:r>
    </w:p>
    <w:p w14:paraId="1B396EE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提升系统的安全设施发生改变；</w:t>
      </w:r>
    </w:p>
    <w:p w14:paraId="056111D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运输系统的安全设施发生改变；</w:t>
      </w:r>
    </w:p>
    <w:p w14:paraId="77F6A1E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通风系统的安全设施发生改变。</w:t>
      </w:r>
    </w:p>
    <w:p w14:paraId="4BAED0B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（二）采矿方法。</w:t>
      </w:r>
    </w:p>
    <w:p w14:paraId="0C8B0C8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崩落法、空场法、充填法三大类采矿方法之间发生变化，并导致下列情况之一的：</w:t>
      </w:r>
    </w:p>
    <w:p w14:paraId="4D6C420D"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）矿体回采顺序发生改变；</w:t>
      </w:r>
    </w:p>
    <w:p w14:paraId="4D2ED09A"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）开拓系统发生改变；</w:t>
      </w:r>
    </w:p>
    <w:p w14:paraId="180582A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）地表环境发生改变。</w:t>
      </w:r>
    </w:p>
    <w:p w14:paraId="2672314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上行开采、下行开采两类开采顺序之间发生变化，并导致下列情况之一的：</w:t>
      </w:r>
    </w:p>
    <w:p w14:paraId="05D99796"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）运输系统的安全设施发生改变；</w:t>
      </w:r>
    </w:p>
    <w:p w14:paraId="079915B6"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）通风系统的安全设施发生改变；</w:t>
      </w:r>
    </w:p>
    <w:p w14:paraId="16E28DC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）排水系统的安全设施发生改变。</w:t>
      </w:r>
    </w:p>
    <w:p w14:paraId="0C660102"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（三）开拓系统。</w:t>
      </w:r>
    </w:p>
    <w:p w14:paraId="40416AEA"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竖井、斜井、斜坡道、平硐四类开拓方式之间发生改变。</w:t>
      </w:r>
    </w:p>
    <w:p w14:paraId="28AF6DE6"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lastRenderedPageBreak/>
        <w:t>2.</w:t>
      </w:r>
      <w:r w:rsidRPr="00AD32F3">
        <w:rPr>
          <w:rFonts w:ascii="微软雅黑" w:eastAsia="微软雅黑" w:hAnsi="微软雅黑" w:cs="宋体" w:hint="eastAsia"/>
          <w:color w:val="333333"/>
          <w:kern w:val="0"/>
          <w:sz w:val="24"/>
          <w:szCs w:val="24"/>
        </w:rPr>
        <w:t>竖井开拓中箕斗、罐笼两类提升方式之间发生改变；斜井开拓中箕斗、串车、胶带三类提升方式之间发生改变；平硐开拓中有轨、无轨、胶带三类运输方式之间发生改变。</w:t>
      </w:r>
    </w:p>
    <w:p w14:paraId="6D17D0B1"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主要井筒的位置发生变化</w:t>
      </w:r>
      <w:r w:rsidRPr="00AD32F3">
        <w:rPr>
          <w:rFonts w:ascii="微软雅黑" w:eastAsia="微软雅黑" w:hAnsi="微软雅黑" w:cs="Calibri" w:hint="eastAsia"/>
          <w:color w:val="333333"/>
          <w:kern w:val="0"/>
          <w:sz w:val="24"/>
          <w:szCs w:val="24"/>
        </w:rPr>
        <w:t>,</w:t>
      </w:r>
      <w:r w:rsidRPr="00AD32F3">
        <w:rPr>
          <w:rFonts w:ascii="微软雅黑" w:eastAsia="微软雅黑" w:hAnsi="微软雅黑" w:cs="宋体" w:hint="eastAsia"/>
          <w:color w:val="333333"/>
          <w:kern w:val="0"/>
          <w:sz w:val="24"/>
          <w:szCs w:val="24"/>
        </w:rPr>
        <w:t>并导致工业场地的位置发生改变。</w:t>
      </w:r>
    </w:p>
    <w:p w14:paraId="45AE02B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4.</w:t>
      </w:r>
      <w:r w:rsidRPr="00AD32F3">
        <w:rPr>
          <w:rFonts w:ascii="微软雅黑" w:eastAsia="微软雅黑" w:hAnsi="微软雅黑" w:cs="宋体" w:hint="eastAsia"/>
          <w:color w:val="333333"/>
          <w:kern w:val="0"/>
          <w:sz w:val="24"/>
          <w:szCs w:val="24"/>
        </w:rPr>
        <w:t>直通地表的安全出口数量减少。</w:t>
      </w:r>
    </w:p>
    <w:p w14:paraId="3FAB46C1"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（四）通风系统。</w:t>
      </w:r>
    </w:p>
    <w:p w14:paraId="28C621E5"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主要通风井井筒数量发生变化或井筒断面变小。</w:t>
      </w:r>
    </w:p>
    <w:p w14:paraId="540F287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主要通风机设备型号或数量发生变化，并导致总通风量减少。</w:t>
      </w:r>
    </w:p>
    <w:p w14:paraId="6490CBCD"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（五）排水系统。</w:t>
      </w:r>
    </w:p>
    <w:p w14:paraId="21E75E80"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排水方式发生变化，并导致排水能力或供配电设施发生改变。</w:t>
      </w:r>
    </w:p>
    <w:p w14:paraId="442124F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主要排水设备型号或数量发生变化，并导致排水能力发生改变。</w:t>
      </w:r>
    </w:p>
    <w:p w14:paraId="46944171"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（六）废石场。</w:t>
      </w:r>
    </w:p>
    <w:p w14:paraId="409F75DA"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废石场的位置发生变化。</w:t>
      </w:r>
    </w:p>
    <w:p w14:paraId="4078F1F4"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废石场堆存高度变高。</w:t>
      </w:r>
    </w:p>
    <w:p w14:paraId="7AE6FB9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废石场堆置顺序发生变化。</w:t>
      </w:r>
    </w:p>
    <w:p w14:paraId="0A4F143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（七）地表</w:t>
      </w:r>
      <w:proofErr w:type="gramStart"/>
      <w:r w:rsidRPr="00AD32F3">
        <w:rPr>
          <w:rFonts w:ascii="微软雅黑" w:eastAsia="微软雅黑" w:hAnsi="微软雅黑" w:cs="宋体" w:hint="eastAsia"/>
          <w:color w:val="333333"/>
          <w:kern w:val="0"/>
          <w:sz w:val="24"/>
          <w:szCs w:val="24"/>
        </w:rPr>
        <w:t>截</w:t>
      </w:r>
      <w:proofErr w:type="gramEnd"/>
      <w:r w:rsidRPr="00AD32F3">
        <w:rPr>
          <w:rFonts w:ascii="微软雅黑" w:eastAsia="微软雅黑" w:hAnsi="微软雅黑" w:cs="宋体" w:hint="eastAsia"/>
          <w:color w:val="333333"/>
          <w:kern w:val="0"/>
          <w:sz w:val="24"/>
          <w:szCs w:val="24"/>
        </w:rPr>
        <w:t>排洪系统。</w:t>
      </w:r>
    </w:p>
    <w:p w14:paraId="16C86B8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地表塌陷区截洪或排洪系统的形式发生变化，并导致截洪或排洪的能力发生改变。</w:t>
      </w:r>
    </w:p>
    <w:p w14:paraId="21D1440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（八）其他。</w:t>
      </w:r>
    </w:p>
    <w:p w14:paraId="742B864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工程地质条件或外部环境发生重大变化，并对矿山开采产生重大影响。</w:t>
      </w:r>
    </w:p>
    <w:p w14:paraId="44CC15E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二、露天矿山</w:t>
      </w:r>
    </w:p>
    <w:p w14:paraId="64724345"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（一）开采范围或设计规模。</w:t>
      </w:r>
    </w:p>
    <w:p w14:paraId="0E8B98E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lastRenderedPageBreak/>
        <w:t>设计开采范围或规模发生变化，并导致下列情况之一的：</w:t>
      </w:r>
    </w:p>
    <w:p w14:paraId="1C76239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开拓运输方式发生改变；</w:t>
      </w:r>
    </w:p>
    <w:p w14:paraId="7B406F35"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露天边坡的安全设施发生改变；</w:t>
      </w:r>
    </w:p>
    <w:p w14:paraId="71F7412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排土场的场址发生改变。</w:t>
      </w:r>
    </w:p>
    <w:p w14:paraId="358B93F1"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（二）开拓运输系统。</w:t>
      </w:r>
    </w:p>
    <w:p w14:paraId="46B75A7E"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公路、铁路、胶带等三类开拓运输方式之间发生改变。</w:t>
      </w:r>
    </w:p>
    <w:p w14:paraId="03177AB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（三）开采工艺。</w:t>
      </w:r>
    </w:p>
    <w:p w14:paraId="36CBFB1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全境界、分期、分区等三类开采工艺之间发生改变。</w:t>
      </w:r>
    </w:p>
    <w:p w14:paraId="4A6BE90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最终边坡角变陡。</w:t>
      </w:r>
    </w:p>
    <w:p w14:paraId="28D6F22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台阶（分层）高度变大。</w:t>
      </w:r>
    </w:p>
    <w:p w14:paraId="5914A8BE"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（四）排土场。</w:t>
      </w:r>
    </w:p>
    <w:p w14:paraId="089A746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排土场的位置发生变化。</w:t>
      </w:r>
    </w:p>
    <w:p w14:paraId="2870D5D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排土场堆存高度变高。</w:t>
      </w:r>
    </w:p>
    <w:p w14:paraId="0BC91A1D"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排土场堆置顺序发生变化。</w:t>
      </w:r>
    </w:p>
    <w:p w14:paraId="3CFB7F0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（五）其他。</w:t>
      </w:r>
    </w:p>
    <w:p w14:paraId="174648F4"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工程地质条件或外部环境发生重大变化，并对矿山开采产生重大影响。</w:t>
      </w:r>
    </w:p>
    <w:p w14:paraId="7E697EB2"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三、尾矿库</w:t>
      </w:r>
    </w:p>
    <w:p w14:paraId="302E6C80"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（一）库址、总库容和总坝高。</w:t>
      </w:r>
    </w:p>
    <w:p w14:paraId="00052B7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尾矿库</w:t>
      </w:r>
      <w:proofErr w:type="gramStart"/>
      <w:r w:rsidRPr="00AD32F3">
        <w:rPr>
          <w:rFonts w:ascii="微软雅黑" w:eastAsia="微软雅黑" w:hAnsi="微软雅黑" w:cs="宋体" w:hint="eastAsia"/>
          <w:color w:val="333333"/>
          <w:kern w:val="0"/>
          <w:sz w:val="24"/>
          <w:szCs w:val="24"/>
        </w:rPr>
        <w:t>库址发生</w:t>
      </w:r>
      <w:proofErr w:type="gramEnd"/>
      <w:r w:rsidRPr="00AD32F3">
        <w:rPr>
          <w:rFonts w:ascii="微软雅黑" w:eastAsia="微软雅黑" w:hAnsi="微软雅黑" w:cs="宋体" w:hint="eastAsia"/>
          <w:color w:val="333333"/>
          <w:kern w:val="0"/>
          <w:sz w:val="24"/>
          <w:szCs w:val="24"/>
        </w:rPr>
        <w:t>变化。</w:t>
      </w:r>
    </w:p>
    <w:p w14:paraId="61613A36"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总库容或总坝高发生变化。</w:t>
      </w:r>
    </w:p>
    <w:p w14:paraId="6A031C7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（二）堆存工艺。</w:t>
      </w:r>
    </w:p>
    <w:p w14:paraId="146893D8"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湿堆、膏体堆存、</w:t>
      </w:r>
      <w:proofErr w:type="gramStart"/>
      <w:r w:rsidRPr="00AD32F3">
        <w:rPr>
          <w:rFonts w:ascii="微软雅黑" w:eastAsia="微软雅黑" w:hAnsi="微软雅黑" w:cs="宋体" w:hint="eastAsia"/>
          <w:color w:val="333333"/>
          <w:kern w:val="0"/>
          <w:sz w:val="24"/>
          <w:szCs w:val="24"/>
        </w:rPr>
        <w:t>干堆等</w:t>
      </w:r>
      <w:proofErr w:type="gramEnd"/>
      <w:r w:rsidRPr="00AD32F3">
        <w:rPr>
          <w:rFonts w:ascii="微软雅黑" w:eastAsia="微软雅黑" w:hAnsi="微软雅黑" w:cs="宋体" w:hint="eastAsia"/>
          <w:color w:val="333333"/>
          <w:kern w:val="0"/>
          <w:sz w:val="24"/>
          <w:szCs w:val="24"/>
        </w:rPr>
        <w:t>三类堆存方式之间发生改变。</w:t>
      </w:r>
    </w:p>
    <w:p w14:paraId="0AFC944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lastRenderedPageBreak/>
        <w:t>2.</w:t>
      </w:r>
      <w:r w:rsidRPr="00AD32F3">
        <w:rPr>
          <w:rFonts w:ascii="微软雅黑" w:eastAsia="微软雅黑" w:hAnsi="微软雅黑" w:cs="宋体" w:hint="eastAsia"/>
          <w:color w:val="333333"/>
          <w:kern w:val="0"/>
          <w:sz w:val="24"/>
          <w:szCs w:val="24"/>
        </w:rPr>
        <w:t>上游法、中线法、下游法、一次性筑坝等四类筑坝方式之间发生改变。</w:t>
      </w:r>
    </w:p>
    <w:p w14:paraId="16D1DE6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坝前排放、周边排放、库尾排放等三类尾矿排放方式之间发生改变。</w:t>
      </w:r>
    </w:p>
    <w:p w14:paraId="0C4D26FA"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（三）尾矿物化特性。</w:t>
      </w:r>
    </w:p>
    <w:p w14:paraId="06DD025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proofErr w:type="gramStart"/>
      <w:r w:rsidRPr="00AD32F3">
        <w:rPr>
          <w:rFonts w:ascii="微软雅黑" w:eastAsia="微软雅黑" w:hAnsi="微软雅黑" w:cs="宋体" w:hint="eastAsia"/>
          <w:color w:val="333333"/>
          <w:kern w:val="0"/>
          <w:sz w:val="24"/>
          <w:szCs w:val="24"/>
        </w:rPr>
        <w:t>湿堆尾矿</w:t>
      </w:r>
      <w:proofErr w:type="gramEnd"/>
      <w:r w:rsidRPr="00AD32F3">
        <w:rPr>
          <w:rFonts w:ascii="微软雅黑" w:eastAsia="微软雅黑" w:hAnsi="微软雅黑" w:cs="宋体" w:hint="eastAsia"/>
          <w:color w:val="333333"/>
          <w:kern w:val="0"/>
          <w:sz w:val="24"/>
          <w:szCs w:val="24"/>
        </w:rPr>
        <w:t>的粒度变细或排放浓度变高，并引起尾矿沉积或物理力学特性发生改变。</w:t>
      </w:r>
    </w:p>
    <w:p w14:paraId="67AF7BF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膏体堆存尾矿的入库尾矿浓度变化，并引起尾矿沉积或物理力学特性发生改变。</w:t>
      </w:r>
    </w:p>
    <w:p w14:paraId="523309E5"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proofErr w:type="gramStart"/>
      <w:r w:rsidRPr="00AD32F3">
        <w:rPr>
          <w:rFonts w:ascii="微软雅黑" w:eastAsia="微软雅黑" w:hAnsi="微软雅黑" w:cs="宋体" w:hint="eastAsia"/>
          <w:color w:val="333333"/>
          <w:kern w:val="0"/>
          <w:sz w:val="24"/>
          <w:szCs w:val="24"/>
        </w:rPr>
        <w:t>干堆尾矿</w:t>
      </w:r>
      <w:proofErr w:type="gramEnd"/>
      <w:r w:rsidRPr="00AD32F3">
        <w:rPr>
          <w:rFonts w:ascii="微软雅黑" w:eastAsia="微软雅黑" w:hAnsi="微软雅黑" w:cs="宋体" w:hint="eastAsia"/>
          <w:color w:val="333333"/>
          <w:kern w:val="0"/>
          <w:sz w:val="24"/>
          <w:szCs w:val="24"/>
        </w:rPr>
        <w:t>含水率变大，并引起尾矿物理力学特性发生改变。</w:t>
      </w:r>
    </w:p>
    <w:p w14:paraId="0B0F7042"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（四）尾矿坝。</w:t>
      </w:r>
    </w:p>
    <w:p w14:paraId="6A525430"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初期坝或一次建坝存在下列情况之一的：</w:t>
      </w:r>
    </w:p>
    <w:p w14:paraId="7374A8D3"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）坝址发生改变；</w:t>
      </w:r>
    </w:p>
    <w:p w14:paraId="5D7D9C5D"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）坝型发生改变；</w:t>
      </w:r>
    </w:p>
    <w:p w14:paraId="36E48369"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w:t>
      </w: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）筑坝材料发生改变。</w:t>
      </w:r>
    </w:p>
    <w:p w14:paraId="779234F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坝体坡比变陡。</w:t>
      </w:r>
    </w:p>
    <w:p w14:paraId="3F082362"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尾矿堆积</w:t>
      </w:r>
      <w:proofErr w:type="gramStart"/>
      <w:r w:rsidRPr="00AD32F3">
        <w:rPr>
          <w:rFonts w:ascii="微软雅黑" w:eastAsia="微软雅黑" w:hAnsi="微软雅黑" w:cs="宋体" w:hint="eastAsia"/>
          <w:color w:val="333333"/>
          <w:kern w:val="0"/>
          <w:sz w:val="24"/>
          <w:szCs w:val="24"/>
        </w:rPr>
        <w:t>坝上升</w:t>
      </w:r>
      <w:proofErr w:type="gramEnd"/>
      <w:r w:rsidRPr="00AD32F3">
        <w:rPr>
          <w:rFonts w:ascii="微软雅黑" w:eastAsia="微软雅黑" w:hAnsi="微软雅黑" w:cs="宋体" w:hint="eastAsia"/>
          <w:color w:val="333333"/>
          <w:kern w:val="0"/>
          <w:sz w:val="24"/>
          <w:szCs w:val="24"/>
        </w:rPr>
        <w:t>速率变大。</w:t>
      </w:r>
    </w:p>
    <w:p w14:paraId="36422D1C"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4.</w:t>
      </w:r>
      <w:r w:rsidRPr="00AD32F3">
        <w:rPr>
          <w:rFonts w:ascii="微软雅黑" w:eastAsia="微软雅黑" w:hAnsi="微软雅黑" w:cs="宋体" w:hint="eastAsia"/>
          <w:color w:val="333333"/>
          <w:kern w:val="0"/>
          <w:sz w:val="24"/>
          <w:szCs w:val="24"/>
        </w:rPr>
        <w:t>坝体防渗或排渗型式发生改变。</w:t>
      </w:r>
    </w:p>
    <w:p w14:paraId="23C9621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（五）防洪排水系统。</w:t>
      </w:r>
    </w:p>
    <w:p w14:paraId="7FC4DACD"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防洪排水系统存在下列情况之一，并导致防洪排水系统的泄洪能力或建（构）筑物强度降低的：</w:t>
      </w:r>
    </w:p>
    <w:p w14:paraId="3E0AF17E"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1.</w:t>
      </w:r>
      <w:r w:rsidRPr="00AD32F3">
        <w:rPr>
          <w:rFonts w:ascii="微软雅黑" w:eastAsia="微软雅黑" w:hAnsi="微软雅黑" w:cs="宋体" w:hint="eastAsia"/>
          <w:color w:val="333333"/>
          <w:kern w:val="0"/>
          <w:sz w:val="24"/>
          <w:szCs w:val="24"/>
        </w:rPr>
        <w:t>防洪排水系统型式发生改变；</w:t>
      </w:r>
    </w:p>
    <w:p w14:paraId="44DF54E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2.</w:t>
      </w:r>
      <w:r w:rsidRPr="00AD32F3">
        <w:rPr>
          <w:rFonts w:ascii="微软雅黑" w:eastAsia="微软雅黑" w:hAnsi="微软雅黑" w:cs="宋体" w:hint="eastAsia"/>
          <w:color w:val="333333"/>
          <w:kern w:val="0"/>
          <w:sz w:val="24"/>
          <w:szCs w:val="24"/>
        </w:rPr>
        <w:t>防洪排水系统布置发生改变；</w:t>
      </w:r>
    </w:p>
    <w:p w14:paraId="46C8EB7F"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t>3.</w:t>
      </w:r>
      <w:r w:rsidRPr="00AD32F3">
        <w:rPr>
          <w:rFonts w:ascii="微软雅黑" w:eastAsia="微软雅黑" w:hAnsi="微软雅黑" w:cs="宋体" w:hint="eastAsia"/>
          <w:color w:val="333333"/>
          <w:kern w:val="0"/>
          <w:sz w:val="24"/>
          <w:szCs w:val="24"/>
        </w:rPr>
        <w:t>防洪排水系统结构尺寸发生改变；</w:t>
      </w:r>
    </w:p>
    <w:p w14:paraId="24FF4F37"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Calibri" w:hint="eastAsia"/>
          <w:color w:val="333333"/>
          <w:kern w:val="0"/>
          <w:sz w:val="24"/>
          <w:szCs w:val="24"/>
        </w:rPr>
        <w:lastRenderedPageBreak/>
        <w:t>4.</w:t>
      </w:r>
      <w:r w:rsidRPr="00AD32F3">
        <w:rPr>
          <w:rFonts w:ascii="微软雅黑" w:eastAsia="微软雅黑" w:hAnsi="微软雅黑" w:cs="宋体" w:hint="eastAsia"/>
          <w:color w:val="333333"/>
          <w:kern w:val="0"/>
          <w:sz w:val="24"/>
          <w:szCs w:val="24"/>
        </w:rPr>
        <w:t>防洪排水系统建筑材料发生改变。</w:t>
      </w:r>
    </w:p>
    <w:p w14:paraId="718EAFEB"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（六）其他。</w:t>
      </w:r>
    </w:p>
    <w:p w14:paraId="09FFBA64" w14:textId="77777777" w:rsidR="00AD32F3" w:rsidRPr="00AD32F3" w:rsidRDefault="00AD32F3" w:rsidP="00EA6262">
      <w:pPr>
        <w:widowControl/>
        <w:shd w:val="clear" w:color="auto" w:fill="FFFFFF"/>
        <w:spacing w:line="360" w:lineRule="auto"/>
        <w:ind w:firstLine="420"/>
        <w:jc w:val="left"/>
        <w:rPr>
          <w:rFonts w:ascii="微软雅黑" w:eastAsia="微软雅黑" w:hAnsi="微软雅黑" w:cs="宋体" w:hint="eastAsia"/>
          <w:color w:val="333333"/>
          <w:kern w:val="0"/>
          <w:sz w:val="24"/>
          <w:szCs w:val="24"/>
        </w:rPr>
      </w:pPr>
      <w:r w:rsidRPr="00AD32F3">
        <w:rPr>
          <w:rFonts w:ascii="微软雅黑" w:eastAsia="微软雅黑" w:hAnsi="微软雅黑" w:cs="宋体" w:hint="eastAsia"/>
          <w:color w:val="333333"/>
          <w:kern w:val="0"/>
          <w:sz w:val="24"/>
          <w:szCs w:val="24"/>
        </w:rPr>
        <w:t>工程地质条件或外部环境发生重大变化，并对尾矿</w:t>
      </w:r>
      <w:proofErr w:type="gramStart"/>
      <w:r w:rsidRPr="00AD32F3">
        <w:rPr>
          <w:rFonts w:ascii="微软雅黑" w:eastAsia="微软雅黑" w:hAnsi="微软雅黑" w:cs="宋体" w:hint="eastAsia"/>
          <w:color w:val="333333"/>
          <w:kern w:val="0"/>
          <w:sz w:val="24"/>
          <w:szCs w:val="24"/>
        </w:rPr>
        <w:t>库运行</w:t>
      </w:r>
      <w:proofErr w:type="gramEnd"/>
      <w:r w:rsidRPr="00AD32F3">
        <w:rPr>
          <w:rFonts w:ascii="微软雅黑" w:eastAsia="微软雅黑" w:hAnsi="微软雅黑" w:cs="宋体" w:hint="eastAsia"/>
          <w:color w:val="333333"/>
          <w:kern w:val="0"/>
          <w:sz w:val="24"/>
          <w:szCs w:val="24"/>
        </w:rPr>
        <w:t>安全产生重大影响。</w:t>
      </w:r>
    </w:p>
    <w:p w14:paraId="3A72C0D6" w14:textId="77777777" w:rsidR="00B4481F" w:rsidRPr="00AD32F3" w:rsidRDefault="00B4481F"/>
    <w:sectPr w:rsidR="00B4481F" w:rsidRPr="00AD32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5F6B" w14:textId="77777777" w:rsidR="008526A8" w:rsidRDefault="008526A8" w:rsidP="00EA6262">
      <w:r>
        <w:separator/>
      </w:r>
    </w:p>
  </w:endnote>
  <w:endnote w:type="continuationSeparator" w:id="0">
    <w:p w14:paraId="4F6C0A15" w14:textId="77777777" w:rsidR="008526A8" w:rsidRDefault="008526A8" w:rsidP="00EA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40058"/>
      <w:docPartObj>
        <w:docPartGallery w:val="Page Numbers (Bottom of Page)"/>
        <w:docPartUnique/>
      </w:docPartObj>
    </w:sdtPr>
    <w:sdtContent>
      <w:sdt>
        <w:sdtPr>
          <w:id w:val="1728636285"/>
          <w:docPartObj>
            <w:docPartGallery w:val="Page Numbers (Top of Page)"/>
            <w:docPartUnique/>
          </w:docPartObj>
        </w:sdtPr>
        <w:sdtContent>
          <w:p w14:paraId="31FB19B2" w14:textId="1DA7EDC7" w:rsidR="00EA6262" w:rsidRDefault="00EA626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C72D45" w14:textId="77777777" w:rsidR="00EA6262" w:rsidRDefault="00EA6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0D78" w14:textId="77777777" w:rsidR="008526A8" w:rsidRDefault="008526A8" w:rsidP="00EA6262">
      <w:r>
        <w:separator/>
      </w:r>
    </w:p>
  </w:footnote>
  <w:footnote w:type="continuationSeparator" w:id="0">
    <w:p w14:paraId="12E8C7AC" w14:textId="77777777" w:rsidR="008526A8" w:rsidRDefault="008526A8" w:rsidP="00EA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7A0420"/>
    <w:rsid w:val="008526A8"/>
    <w:rsid w:val="00AD32F3"/>
    <w:rsid w:val="00B4481F"/>
    <w:rsid w:val="00EA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7369"/>
  <w15:chartTrackingRefBased/>
  <w15:docId w15:val="{D799A4C7-DE5D-430F-9CEF-4215F626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6262"/>
    <w:rPr>
      <w:sz w:val="18"/>
      <w:szCs w:val="18"/>
    </w:rPr>
  </w:style>
  <w:style w:type="paragraph" w:styleId="a5">
    <w:name w:val="footer"/>
    <w:basedOn w:val="a"/>
    <w:link w:val="a6"/>
    <w:uiPriority w:val="99"/>
    <w:unhideWhenUsed/>
    <w:rsid w:val="00EA6262"/>
    <w:pPr>
      <w:tabs>
        <w:tab w:val="center" w:pos="4153"/>
        <w:tab w:val="right" w:pos="8306"/>
      </w:tabs>
      <w:snapToGrid w:val="0"/>
      <w:jc w:val="left"/>
    </w:pPr>
    <w:rPr>
      <w:sz w:val="18"/>
      <w:szCs w:val="18"/>
    </w:rPr>
  </w:style>
  <w:style w:type="character" w:customStyle="1" w:styleId="a6">
    <w:name w:val="页脚 字符"/>
    <w:basedOn w:val="a0"/>
    <w:link w:val="a5"/>
    <w:uiPriority w:val="99"/>
    <w:rsid w:val="00EA6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BAOPING</dc:creator>
  <cp:keywords/>
  <dc:description/>
  <cp:lastModifiedBy>ZHANG BAOPING</cp:lastModifiedBy>
  <cp:revision>3</cp:revision>
  <dcterms:created xsi:type="dcterms:W3CDTF">2022-07-22T09:28:00Z</dcterms:created>
  <dcterms:modified xsi:type="dcterms:W3CDTF">2022-07-22T09:31:00Z</dcterms:modified>
</cp:coreProperties>
</file>